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A83C" w14:textId="0B721961" w:rsidR="009E7D0C" w:rsidRPr="00696301" w:rsidRDefault="009E7D0C" w:rsidP="0076375E">
      <w:pPr>
        <w:jc w:val="center"/>
        <w:rPr>
          <w:rFonts w:ascii="Times New Roman" w:hAnsi="Times New Roman"/>
          <w:sz w:val="24"/>
        </w:rPr>
      </w:pPr>
      <w:bookmarkStart w:id="0" w:name="_Toc262568021"/>
      <w:bookmarkStart w:id="1" w:name="_Toc295829847"/>
      <w:r>
        <w:rPr>
          <w:rFonts w:ascii="Times New Roman" w:hAnsi="Times New Roman"/>
          <w:sz w:val="24"/>
        </w:rPr>
        <w:t>PL</w:t>
      </w:r>
    </w:p>
    <w:p w14:paraId="24333E7A" w14:textId="068FF302" w:rsidR="008D696E" w:rsidRDefault="008D696E" w:rsidP="00A33695">
      <w:pPr>
        <w:jc w:val="center"/>
        <w:rPr>
          <w:rFonts w:ascii="Times New Roman" w:hAnsi="Times New Roman"/>
          <w:sz w:val="24"/>
        </w:rPr>
      </w:pPr>
      <w:r>
        <w:rPr>
          <w:rFonts w:ascii="Times New Roman" w:hAnsi="Times New Roman"/>
          <w:sz w:val="24"/>
        </w:rPr>
        <w:t>ZAŁĄCZNIK II</w:t>
      </w:r>
    </w:p>
    <w:p w14:paraId="37362007" w14:textId="08E6D03A" w:rsidR="002648B0" w:rsidRPr="00696301" w:rsidRDefault="008D696E" w:rsidP="00A33695">
      <w:pPr>
        <w:jc w:val="center"/>
        <w:rPr>
          <w:rFonts w:ascii="Times New Roman" w:hAnsi="Times New Roman"/>
          <w:sz w:val="24"/>
        </w:rPr>
      </w:pPr>
      <w:r>
        <w:rPr>
          <w:rFonts w:ascii="Times New Roman" w:hAnsi="Times New Roman"/>
          <w:sz w:val="24"/>
        </w:rPr>
        <w:t xml:space="preserve">„ZAŁĄCZNIK XI </w:t>
      </w:r>
    </w:p>
    <w:p w14:paraId="2C40683C" w14:textId="26F597FA" w:rsidR="00436204" w:rsidRPr="00696301" w:rsidRDefault="00D11E4C" w:rsidP="004E7DCF">
      <w:pPr>
        <w:jc w:val="center"/>
        <w:rPr>
          <w:rFonts w:ascii="Times New Roman" w:hAnsi="Times New Roman"/>
          <w:b/>
          <w:sz w:val="24"/>
        </w:rPr>
      </w:pPr>
      <w:r>
        <w:rPr>
          <w:rFonts w:ascii="Times New Roman" w:hAnsi="Times New Roman"/>
          <w:b/>
          <w:sz w:val="24"/>
        </w:rPr>
        <w:t>INSTRUKCJE DOTYCZĄCE SPRAWOZDAWCZOŚCI W ZAKRESIE WYMOGU OPARTEGO NA WSPÓŁCZYNNIKU K W RAMACH RYZYKA DLA RYNKU NA PODSTAWIE WSPÓŁCZYNNIKA K-NPR</w:t>
      </w:r>
    </w:p>
    <w:p w14:paraId="3DEB94EC" w14:textId="77777777" w:rsidR="00783881" w:rsidRPr="00696301" w:rsidRDefault="002648B0" w:rsidP="00487A02">
      <w:pPr>
        <w:pStyle w:val="InstructionsText"/>
      </w:pPr>
      <w:r>
        <w:t>Spis treści</w:t>
      </w:r>
    </w:p>
    <w:p w14:paraId="500BE411" w14:textId="26DDB191" w:rsidR="00230B10" w:rsidRDefault="00745369">
      <w:pPr>
        <w:pStyle w:val="TOC2"/>
        <w:rPr>
          <w:rFonts w:asciiTheme="minorHAnsi" w:eastAsiaTheme="minorEastAsia" w:hAnsiTheme="minorHAnsi" w:cstheme="minorBidi"/>
          <w:b w:val="0"/>
          <w:smallCaps w:val="0"/>
          <w:kern w:val="2"/>
          <w:sz w:val="24"/>
          <w:szCs w:val="24"/>
          <w:lang w:val="en-IE" w:eastAsia="en-I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210908813" w:history="1">
        <w:r w:rsidR="00230B10" w:rsidRPr="000F09AB">
          <w:rPr>
            <w:rStyle w:val="Hyperlink"/>
            <w:rFonts w:ascii="Times New Roman" w:hAnsi="Times New Roman"/>
          </w:rPr>
          <w:t>CZĘŚĆ I: INSTRUKCJE OGÓLNE</w:t>
        </w:r>
        <w:r w:rsidR="00230B10">
          <w:rPr>
            <w:webHidden/>
          </w:rPr>
          <w:tab/>
        </w:r>
        <w:r w:rsidR="00230B10">
          <w:rPr>
            <w:webHidden/>
          </w:rPr>
          <w:fldChar w:fldCharType="begin"/>
        </w:r>
        <w:r w:rsidR="00230B10">
          <w:rPr>
            <w:webHidden/>
          </w:rPr>
          <w:instrText xml:space="preserve"> PAGEREF _Toc210908813 \h </w:instrText>
        </w:r>
        <w:r w:rsidR="00230B10">
          <w:rPr>
            <w:webHidden/>
          </w:rPr>
        </w:r>
        <w:r w:rsidR="00230B10">
          <w:rPr>
            <w:webHidden/>
          </w:rPr>
          <w:fldChar w:fldCharType="separate"/>
        </w:r>
        <w:r w:rsidR="00230B10">
          <w:rPr>
            <w:webHidden/>
          </w:rPr>
          <w:t>3</w:t>
        </w:r>
        <w:r w:rsidR="00230B10">
          <w:rPr>
            <w:webHidden/>
          </w:rPr>
          <w:fldChar w:fldCharType="end"/>
        </w:r>
      </w:hyperlink>
    </w:p>
    <w:p w14:paraId="733938E3" w14:textId="191E0CE3"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14" w:history="1">
        <w:r w:rsidRPr="000F09AB">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KONWENCJE</w:t>
        </w:r>
        <w:r>
          <w:rPr>
            <w:webHidden/>
          </w:rPr>
          <w:tab/>
        </w:r>
        <w:r>
          <w:rPr>
            <w:webHidden/>
          </w:rPr>
          <w:fldChar w:fldCharType="begin"/>
        </w:r>
        <w:r>
          <w:rPr>
            <w:webHidden/>
          </w:rPr>
          <w:instrText xml:space="preserve"> PAGEREF _Toc210908814 \h </w:instrText>
        </w:r>
        <w:r>
          <w:rPr>
            <w:webHidden/>
          </w:rPr>
        </w:r>
        <w:r>
          <w:rPr>
            <w:webHidden/>
          </w:rPr>
          <w:fldChar w:fldCharType="separate"/>
        </w:r>
        <w:r>
          <w:rPr>
            <w:webHidden/>
          </w:rPr>
          <w:t>3</w:t>
        </w:r>
        <w:r>
          <w:rPr>
            <w:webHidden/>
          </w:rPr>
          <w:fldChar w:fldCharType="end"/>
        </w:r>
      </w:hyperlink>
    </w:p>
    <w:p w14:paraId="75485F10" w14:textId="4E137DF0"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15" w:history="1">
        <w:r w:rsidRPr="000F09AB">
          <w:rPr>
            <w:rStyle w:val="Hyperlink"/>
            <w:rFonts w:ascii="Times New Roman" w:hAnsi="Times New Roman"/>
          </w:rPr>
          <w:t>1.1.</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Konwencja numerowania</w:t>
        </w:r>
        <w:r>
          <w:rPr>
            <w:webHidden/>
          </w:rPr>
          <w:tab/>
        </w:r>
        <w:r>
          <w:rPr>
            <w:webHidden/>
          </w:rPr>
          <w:fldChar w:fldCharType="begin"/>
        </w:r>
        <w:r>
          <w:rPr>
            <w:webHidden/>
          </w:rPr>
          <w:instrText xml:space="preserve"> PAGEREF _Toc210908815 \h </w:instrText>
        </w:r>
        <w:r>
          <w:rPr>
            <w:webHidden/>
          </w:rPr>
        </w:r>
        <w:r>
          <w:rPr>
            <w:webHidden/>
          </w:rPr>
          <w:fldChar w:fldCharType="separate"/>
        </w:r>
        <w:r>
          <w:rPr>
            <w:webHidden/>
          </w:rPr>
          <w:t>3</w:t>
        </w:r>
        <w:r>
          <w:rPr>
            <w:webHidden/>
          </w:rPr>
          <w:fldChar w:fldCharType="end"/>
        </w:r>
      </w:hyperlink>
    </w:p>
    <w:p w14:paraId="7473D9BA" w14:textId="5A979D77"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16" w:history="1">
        <w:r w:rsidRPr="000F09AB">
          <w:rPr>
            <w:rStyle w:val="Hyperlink"/>
            <w:rFonts w:ascii="Times New Roman" w:hAnsi="Times New Roman"/>
          </w:rPr>
          <w:t>1.2.</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Konwencja znaku</w:t>
        </w:r>
        <w:r>
          <w:rPr>
            <w:webHidden/>
          </w:rPr>
          <w:tab/>
        </w:r>
        <w:r>
          <w:rPr>
            <w:webHidden/>
          </w:rPr>
          <w:fldChar w:fldCharType="begin"/>
        </w:r>
        <w:r>
          <w:rPr>
            <w:webHidden/>
          </w:rPr>
          <w:instrText xml:space="preserve"> PAGEREF _Toc210908816 \h </w:instrText>
        </w:r>
        <w:r>
          <w:rPr>
            <w:webHidden/>
          </w:rPr>
        </w:r>
        <w:r>
          <w:rPr>
            <w:webHidden/>
          </w:rPr>
          <w:fldChar w:fldCharType="separate"/>
        </w:r>
        <w:r>
          <w:rPr>
            <w:webHidden/>
          </w:rPr>
          <w:t>3</w:t>
        </w:r>
        <w:r>
          <w:rPr>
            <w:webHidden/>
          </w:rPr>
          <w:fldChar w:fldCharType="end"/>
        </w:r>
      </w:hyperlink>
    </w:p>
    <w:p w14:paraId="1B74AA96" w14:textId="68D9EE6E"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17" w:history="1">
        <w:r w:rsidRPr="000F09AB">
          <w:rPr>
            <w:rStyle w:val="Hyperlink"/>
            <w:rFonts w:ascii="Times New Roman" w:hAnsi="Times New Roman"/>
          </w:rPr>
          <w:t>1.3.</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Odesłania do rozporządzenia (UE) 575/2013</w:t>
        </w:r>
        <w:r>
          <w:rPr>
            <w:webHidden/>
          </w:rPr>
          <w:tab/>
        </w:r>
        <w:r>
          <w:rPr>
            <w:webHidden/>
          </w:rPr>
          <w:fldChar w:fldCharType="begin"/>
        </w:r>
        <w:r>
          <w:rPr>
            <w:webHidden/>
          </w:rPr>
          <w:instrText xml:space="preserve"> PAGEREF _Toc210908817 \h </w:instrText>
        </w:r>
        <w:r>
          <w:rPr>
            <w:webHidden/>
          </w:rPr>
        </w:r>
        <w:r>
          <w:rPr>
            <w:webHidden/>
          </w:rPr>
          <w:fldChar w:fldCharType="separate"/>
        </w:r>
        <w:r>
          <w:rPr>
            <w:webHidden/>
          </w:rPr>
          <w:t>3</w:t>
        </w:r>
        <w:r>
          <w:rPr>
            <w:webHidden/>
          </w:rPr>
          <w:fldChar w:fldCharType="end"/>
        </w:r>
      </w:hyperlink>
    </w:p>
    <w:p w14:paraId="65C0F343" w14:textId="30DFA3E9"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18" w:history="1">
        <w:r w:rsidRPr="000F09AB">
          <w:rPr>
            <w:rStyle w:val="Hyperlink"/>
            <w:rFonts w:ascii="Times New Roman" w:hAnsi="Times New Roman"/>
          </w:rPr>
          <w:t>CZĘŚĆ II: INSTRUKCJE DOTYCZĄCE WZORÓW: WZORY DOTYCZĄCE RYZYKA RYNKOWEGO</w:t>
        </w:r>
        <w:r>
          <w:rPr>
            <w:webHidden/>
          </w:rPr>
          <w:tab/>
        </w:r>
        <w:r>
          <w:rPr>
            <w:webHidden/>
          </w:rPr>
          <w:fldChar w:fldCharType="begin"/>
        </w:r>
        <w:r>
          <w:rPr>
            <w:webHidden/>
          </w:rPr>
          <w:instrText xml:space="preserve"> PAGEREF _Toc210908818 \h </w:instrText>
        </w:r>
        <w:r>
          <w:rPr>
            <w:webHidden/>
          </w:rPr>
        </w:r>
        <w:r>
          <w:rPr>
            <w:webHidden/>
          </w:rPr>
          <w:fldChar w:fldCharType="separate"/>
        </w:r>
        <w:r>
          <w:rPr>
            <w:webHidden/>
          </w:rPr>
          <w:t>4</w:t>
        </w:r>
        <w:r>
          <w:rPr>
            <w:webHidden/>
          </w:rPr>
          <w:fldChar w:fldCharType="end"/>
        </w:r>
      </w:hyperlink>
    </w:p>
    <w:p w14:paraId="36414913" w14:textId="1D4AF27F"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19" w:history="1">
        <w:r w:rsidRPr="000F09AB">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Uwagi ogólne</w:t>
        </w:r>
        <w:r>
          <w:rPr>
            <w:webHidden/>
          </w:rPr>
          <w:tab/>
        </w:r>
        <w:r>
          <w:rPr>
            <w:webHidden/>
          </w:rPr>
          <w:fldChar w:fldCharType="begin"/>
        </w:r>
        <w:r>
          <w:rPr>
            <w:webHidden/>
          </w:rPr>
          <w:instrText xml:space="preserve"> PAGEREF _Toc210908819 \h </w:instrText>
        </w:r>
        <w:r>
          <w:rPr>
            <w:webHidden/>
          </w:rPr>
        </w:r>
        <w:r>
          <w:rPr>
            <w:webHidden/>
          </w:rPr>
          <w:fldChar w:fldCharType="separate"/>
        </w:r>
        <w:r>
          <w:rPr>
            <w:webHidden/>
          </w:rPr>
          <w:t>4</w:t>
        </w:r>
        <w:r>
          <w:rPr>
            <w:webHidden/>
          </w:rPr>
          <w:fldChar w:fldCharType="end"/>
        </w:r>
      </w:hyperlink>
    </w:p>
    <w:p w14:paraId="019D41C9" w14:textId="2D49EB71"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20" w:history="1">
        <w:r w:rsidRPr="000F09AB">
          <w:rPr>
            <w:rStyle w:val="Hyperlink"/>
            <w:rFonts w:ascii="Times New Roman" w:hAnsi="Times New Roman"/>
          </w:rPr>
          <w:t>2.</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C 18.00 – Ryzyko rynkowe: Ryzyko pozycji z tytułu rynkowych instrumentów dłużnych według metody standardowej (MKR SA TDI)</w:t>
        </w:r>
        <w:r>
          <w:rPr>
            <w:webHidden/>
          </w:rPr>
          <w:tab/>
        </w:r>
        <w:r>
          <w:rPr>
            <w:webHidden/>
          </w:rPr>
          <w:fldChar w:fldCharType="begin"/>
        </w:r>
        <w:r>
          <w:rPr>
            <w:webHidden/>
          </w:rPr>
          <w:instrText xml:space="preserve"> PAGEREF _Toc210908820 \h </w:instrText>
        </w:r>
        <w:r>
          <w:rPr>
            <w:webHidden/>
          </w:rPr>
        </w:r>
        <w:r>
          <w:rPr>
            <w:webHidden/>
          </w:rPr>
          <w:fldChar w:fldCharType="separate"/>
        </w:r>
        <w:r>
          <w:rPr>
            <w:webHidden/>
          </w:rPr>
          <w:t>4</w:t>
        </w:r>
        <w:r>
          <w:rPr>
            <w:webHidden/>
          </w:rPr>
          <w:fldChar w:fldCharType="end"/>
        </w:r>
      </w:hyperlink>
    </w:p>
    <w:p w14:paraId="08F1745F" w14:textId="4194183C"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21" w:history="1">
        <w:r w:rsidRPr="000F09AB">
          <w:rPr>
            <w:rStyle w:val="Hyperlink"/>
            <w:rFonts w:ascii="Times New Roman" w:hAnsi="Times New Roman"/>
          </w:rPr>
          <w:t>2.1.</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Uwagi ogólne</w:t>
        </w:r>
        <w:r>
          <w:rPr>
            <w:webHidden/>
          </w:rPr>
          <w:tab/>
        </w:r>
        <w:r>
          <w:rPr>
            <w:webHidden/>
          </w:rPr>
          <w:fldChar w:fldCharType="begin"/>
        </w:r>
        <w:r>
          <w:rPr>
            <w:webHidden/>
          </w:rPr>
          <w:instrText xml:space="preserve"> PAGEREF _Toc210908821 \h </w:instrText>
        </w:r>
        <w:r>
          <w:rPr>
            <w:webHidden/>
          </w:rPr>
        </w:r>
        <w:r>
          <w:rPr>
            <w:webHidden/>
          </w:rPr>
          <w:fldChar w:fldCharType="separate"/>
        </w:r>
        <w:r>
          <w:rPr>
            <w:webHidden/>
          </w:rPr>
          <w:t>4</w:t>
        </w:r>
        <w:r>
          <w:rPr>
            <w:webHidden/>
          </w:rPr>
          <w:fldChar w:fldCharType="end"/>
        </w:r>
      </w:hyperlink>
    </w:p>
    <w:p w14:paraId="320A0468" w14:textId="639F2898"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22" w:history="1">
        <w:r w:rsidRPr="000F09AB">
          <w:rPr>
            <w:rStyle w:val="Hyperlink"/>
            <w:rFonts w:ascii="Times New Roman" w:hAnsi="Times New Roman"/>
          </w:rPr>
          <w:t>2.2.</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_Toc210908822 \h </w:instrText>
        </w:r>
        <w:r>
          <w:rPr>
            <w:webHidden/>
          </w:rPr>
        </w:r>
        <w:r>
          <w:rPr>
            <w:webHidden/>
          </w:rPr>
          <w:fldChar w:fldCharType="separate"/>
        </w:r>
        <w:r>
          <w:rPr>
            <w:webHidden/>
          </w:rPr>
          <w:t>5</w:t>
        </w:r>
        <w:r>
          <w:rPr>
            <w:webHidden/>
          </w:rPr>
          <w:fldChar w:fldCharType="end"/>
        </w:r>
      </w:hyperlink>
    </w:p>
    <w:p w14:paraId="4557C8FC" w14:textId="35098C6E"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23" w:history="1">
        <w:r w:rsidRPr="000F09AB">
          <w:rPr>
            <w:rStyle w:val="Hyperlink"/>
            <w:rFonts w:ascii="Times New Roman" w:hAnsi="Times New Roman"/>
          </w:rPr>
          <w:t>3.</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C 19.00 – RYZYKO RYNKOWE: SZCZEGÓLNE RYZYKO Z TYTUŁU SEKURYTYZACJI WEDŁUG METODY STANDARDOWEJ (MKR SA SEC)</w:t>
        </w:r>
        <w:r>
          <w:rPr>
            <w:webHidden/>
          </w:rPr>
          <w:tab/>
        </w:r>
        <w:r>
          <w:rPr>
            <w:webHidden/>
          </w:rPr>
          <w:fldChar w:fldCharType="begin"/>
        </w:r>
        <w:r>
          <w:rPr>
            <w:webHidden/>
          </w:rPr>
          <w:instrText xml:space="preserve"> PAGEREF _Toc210908823 \h </w:instrText>
        </w:r>
        <w:r>
          <w:rPr>
            <w:webHidden/>
          </w:rPr>
        </w:r>
        <w:r>
          <w:rPr>
            <w:webHidden/>
          </w:rPr>
          <w:fldChar w:fldCharType="separate"/>
        </w:r>
        <w:r>
          <w:rPr>
            <w:webHidden/>
          </w:rPr>
          <w:t>7</w:t>
        </w:r>
        <w:r>
          <w:rPr>
            <w:webHidden/>
          </w:rPr>
          <w:fldChar w:fldCharType="end"/>
        </w:r>
      </w:hyperlink>
    </w:p>
    <w:p w14:paraId="53C63A68" w14:textId="358BC921"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24" w:history="1">
        <w:r w:rsidRPr="000F09AB">
          <w:rPr>
            <w:rStyle w:val="Hyperlink"/>
            <w:rFonts w:ascii="Times New Roman" w:hAnsi="Times New Roman"/>
          </w:rPr>
          <w:t>3.1.</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Uwagi ogólne</w:t>
        </w:r>
        <w:r>
          <w:rPr>
            <w:webHidden/>
          </w:rPr>
          <w:tab/>
        </w:r>
        <w:r>
          <w:rPr>
            <w:webHidden/>
          </w:rPr>
          <w:fldChar w:fldCharType="begin"/>
        </w:r>
        <w:r>
          <w:rPr>
            <w:webHidden/>
          </w:rPr>
          <w:instrText xml:space="preserve"> PAGEREF _Toc210908824 \h </w:instrText>
        </w:r>
        <w:r>
          <w:rPr>
            <w:webHidden/>
          </w:rPr>
        </w:r>
        <w:r>
          <w:rPr>
            <w:webHidden/>
          </w:rPr>
          <w:fldChar w:fldCharType="separate"/>
        </w:r>
        <w:r>
          <w:rPr>
            <w:webHidden/>
          </w:rPr>
          <w:t>7</w:t>
        </w:r>
        <w:r>
          <w:rPr>
            <w:webHidden/>
          </w:rPr>
          <w:fldChar w:fldCharType="end"/>
        </w:r>
      </w:hyperlink>
    </w:p>
    <w:p w14:paraId="76BB9B9E" w14:textId="35B8D8C5"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25" w:history="1">
        <w:r w:rsidRPr="000F09AB">
          <w:rPr>
            <w:rStyle w:val="Hyperlink"/>
            <w:rFonts w:ascii="Times New Roman" w:hAnsi="Times New Roman"/>
          </w:rPr>
          <w:t>3.2.</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_Toc210908825 \h </w:instrText>
        </w:r>
        <w:r>
          <w:rPr>
            <w:webHidden/>
          </w:rPr>
        </w:r>
        <w:r>
          <w:rPr>
            <w:webHidden/>
          </w:rPr>
          <w:fldChar w:fldCharType="separate"/>
        </w:r>
        <w:r>
          <w:rPr>
            <w:webHidden/>
          </w:rPr>
          <w:t>8</w:t>
        </w:r>
        <w:r>
          <w:rPr>
            <w:webHidden/>
          </w:rPr>
          <w:fldChar w:fldCharType="end"/>
        </w:r>
      </w:hyperlink>
    </w:p>
    <w:p w14:paraId="164DF58F" w14:textId="0F8BA7A9"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26" w:history="1">
        <w:r w:rsidRPr="000F09AB">
          <w:rPr>
            <w:rStyle w:val="Hyperlink"/>
            <w:rFonts w:ascii="Times New Roman" w:hAnsi="Times New Roman"/>
          </w:rPr>
          <w:t>4.</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C 20.00 – RYZYKO RYNKOWE: SZCZEGÓLNE RYZYKO Z TYTUŁU POZYCJI PRZYPISANYCH DO KORELACYJNEGO PORTFELA HANDLOWEGO WEDŁUG METODY STANDARDOWEJ (MKR SA CTP)</w:t>
        </w:r>
        <w:r>
          <w:rPr>
            <w:webHidden/>
          </w:rPr>
          <w:tab/>
        </w:r>
        <w:r>
          <w:rPr>
            <w:webHidden/>
          </w:rPr>
          <w:fldChar w:fldCharType="begin"/>
        </w:r>
        <w:r>
          <w:rPr>
            <w:webHidden/>
          </w:rPr>
          <w:instrText xml:space="preserve"> PAGEREF _Toc210908826 \h </w:instrText>
        </w:r>
        <w:r>
          <w:rPr>
            <w:webHidden/>
          </w:rPr>
        </w:r>
        <w:r>
          <w:rPr>
            <w:webHidden/>
          </w:rPr>
          <w:fldChar w:fldCharType="separate"/>
        </w:r>
        <w:r>
          <w:rPr>
            <w:webHidden/>
          </w:rPr>
          <w:t>10</w:t>
        </w:r>
        <w:r>
          <w:rPr>
            <w:webHidden/>
          </w:rPr>
          <w:fldChar w:fldCharType="end"/>
        </w:r>
      </w:hyperlink>
    </w:p>
    <w:p w14:paraId="47D23DD9" w14:textId="3E49D59F"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27" w:history="1">
        <w:r w:rsidRPr="000F09AB">
          <w:rPr>
            <w:rStyle w:val="Hyperlink"/>
            <w:rFonts w:ascii="Times New Roman" w:hAnsi="Times New Roman"/>
          </w:rPr>
          <w:t>4.1.</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Uwagi ogólne</w:t>
        </w:r>
        <w:r>
          <w:rPr>
            <w:webHidden/>
          </w:rPr>
          <w:tab/>
        </w:r>
        <w:r>
          <w:rPr>
            <w:webHidden/>
          </w:rPr>
          <w:fldChar w:fldCharType="begin"/>
        </w:r>
        <w:r>
          <w:rPr>
            <w:webHidden/>
          </w:rPr>
          <w:instrText xml:space="preserve"> PAGEREF _Toc210908827 \h </w:instrText>
        </w:r>
        <w:r>
          <w:rPr>
            <w:webHidden/>
          </w:rPr>
        </w:r>
        <w:r>
          <w:rPr>
            <w:webHidden/>
          </w:rPr>
          <w:fldChar w:fldCharType="separate"/>
        </w:r>
        <w:r>
          <w:rPr>
            <w:webHidden/>
          </w:rPr>
          <w:t>10</w:t>
        </w:r>
        <w:r>
          <w:rPr>
            <w:webHidden/>
          </w:rPr>
          <w:fldChar w:fldCharType="end"/>
        </w:r>
      </w:hyperlink>
    </w:p>
    <w:p w14:paraId="679B91EF" w14:textId="5DAC8D07"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28" w:history="1">
        <w:r w:rsidRPr="000F09AB">
          <w:rPr>
            <w:rStyle w:val="Hyperlink"/>
            <w:rFonts w:ascii="Times New Roman" w:hAnsi="Times New Roman"/>
          </w:rPr>
          <w:t>4.2.</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_Toc210908828 \h </w:instrText>
        </w:r>
        <w:r>
          <w:rPr>
            <w:webHidden/>
          </w:rPr>
        </w:r>
        <w:r>
          <w:rPr>
            <w:webHidden/>
          </w:rPr>
          <w:fldChar w:fldCharType="separate"/>
        </w:r>
        <w:r>
          <w:rPr>
            <w:webHidden/>
          </w:rPr>
          <w:t>11</w:t>
        </w:r>
        <w:r>
          <w:rPr>
            <w:webHidden/>
          </w:rPr>
          <w:fldChar w:fldCharType="end"/>
        </w:r>
      </w:hyperlink>
    </w:p>
    <w:p w14:paraId="563A7170" w14:textId="6FACD9F1"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29" w:history="1">
        <w:r w:rsidRPr="000F09AB">
          <w:rPr>
            <w:rStyle w:val="Hyperlink"/>
            <w:rFonts w:ascii="Times New Roman" w:hAnsi="Times New Roman"/>
          </w:rPr>
          <w:t>5.</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C 21.00 – Ryzyko rynkowe: Ryzyko pozycji z tytułu instrumentów kapitałowych według metody standardowej (MKR SA EQU)</w:t>
        </w:r>
        <w:r>
          <w:rPr>
            <w:webHidden/>
          </w:rPr>
          <w:tab/>
        </w:r>
        <w:r>
          <w:rPr>
            <w:webHidden/>
          </w:rPr>
          <w:fldChar w:fldCharType="begin"/>
        </w:r>
        <w:r>
          <w:rPr>
            <w:webHidden/>
          </w:rPr>
          <w:instrText xml:space="preserve"> PAGEREF _Toc210908829 \h </w:instrText>
        </w:r>
        <w:r>
          <w:rPr>
            <w:webHidden/>
          </w:rPr>
        </w:r>
        <w:r>
          <w:rPr>
            <w:webHidden/>
          </w:rPr>
          <w:fldChar w:fldCharType="separate"/>
        </w:r>
        <w:r>
          <w:rPr>
            <w:webHidden/>
          </w:rPr>
          <w:t>14</w:t>
        </w:r>
        <w:r>
          <w:rPr>
            <w:webHidden/>
          </w:rPr>
          <w:fldChar w:fldCharType="end"/>
        </w:r>
      </w:hyperlink>
    </w:p>
    <w:p w14:paraId="1B1EB9F2" w14:textId="73A211FB"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30" w:history="1">
        <w:r w:rsidRPr="000F09AB">
          <w:rPr>
            <w:rStyle w:val="Hyperlink"/>
            <w:rFonts w:ascii="Times New Roman" w:hAnsi="Times New Roman"/>
          </w:rPr>
          <w:t>5.1.</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Uwagi ogólne</w:t>
        </w:r>
        <w:r>
          <w:rPr>
            <w:webHidden/>
          </w:rPr>
          <w:tab/>
        </w:r>
        <w:r>
          <w:rPr>
            <w:webHidden/>
          </w:rPr>
          <w:fldChar w:fldCharType="begin"/>
        </w:r>
        <w:r>
          <w:rPr>
            <w:webHidden/>
          </w:rPr>
          <w:instrText xml:space="preserve"> PAGEREF _Toc210908830 \h </w:instrText>
        </w:r>
        <w:r>
          <w:rPr>
            <w:webHidden/>
          </w:rPr>
        </w:r>
        <w:r>
          <w:rPr>
            <w:webHidden/>
          </w:rPr>
          <w:fldChar w:fldCharType="separate"/>
        </w:r>
        <w:r>
          <w:rPr>
            <w:webHidden/>
          </w:rPr>
          <w:t>14</w:t>
        </w:r>
        <w:r>
          <w:rPr>
            <w:webHidden/>
          </w:rPr>
          <w:fldChar w:fldCharType="end"/>
        </w:r>
      </w:hyperlink>
    </w:p>
    <w:p w14:paraId="04D02DBE" w14:textId="41AD1318"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31" w:history="1">
        <w:r w:rsidRPr="000F09AB">
          <w:rPr>
            <w:rStyle w:val="Hyperlink"/>
            <w:rFonts w:ascii="Times New Roman" w:hAnsi="Times New Roman"/>
          </w:rPr>
          <w:t>5.2.</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_Toc210908831 \h </w:instrText>
        </w:r>
        <w:r>
          <w:rPr>
            <w:webHidden/>
          </w:rPr>
        </w:r>
        <w:r>
          <w:rPr>
            <w:webHidden/>
          </w:rPr>
          <w:fldChar w:fldCharType="separate"/>
        </w:r>
        <w:r>
          <w:rPr>
            <w:webHidden/>
          </w:rPr>
          <w:t>14</w:t>
        </w:r>
        <w:r>
          <w:rPr>
            <w:webHidden/>
          </w:rPr>
          <w:fldChar w:fldCharType="end"/>
        </w:r>
      </w:hyperlink>
    </w:p>
    <w:p w14:paraId="417787AC" w14:textId="11126A3D"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32" w:history="1">
        <w:r w:rsidRPr="000F09AB">
          <w:rPr>
            <w:rStyle w:val="Hyperlink"/>
            <w:rFonts w:ascii="Times New Roman" w:hAnsi="Times New Roman"/>
          </w:rPr>
          <w:t>6.</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C 22.00 – Ryzyko rynkowe: Ryzyko walutowe według metod standardowych (MKR SA FX)</w:t>
        </w:r>
        <w:r>
          <w:rPr>
            <w:webHidden/>
          </w:rPr>
          <w:tab/>
        </w:r>
        <w:r>
          <w:rPr>
            <w:webHidden/>
          </w:rPr>
          <w:fldChar w:fldCharType="begin"/>
        </w:r>
        <w:r>
          <w:rPr>
            <w:webHidden/>
          </w:rPr>
          <w:instrText xml:space="preserve"> PAGEREF _Toc210908832 \h </w:instrText>
        </w:r>
        <w:r>
          <w:rPr>
            <w:webHidden/>
          </w:rPr>
        </w:r>
        <w:r>
          <w:rPr>
            <w:webHidden/>
          </w:rPr>
          <w:fldChar w:fldCharType="separate"/>
        </w:r>
        <w:r>
          <w:rPr>
            <w:webHidden/>
          </w:rPr>
          <w:t>16</w:t>
        </w:r>
        <w:r>
          <w:rPr>
            <w:webHidden/>
          </w:rPr>
          <w:fldChar w:fldCharType="end"/>
        </w:r>
      </w:hyperlink>
    </w:p>
    <w:p w14:paraId="219CAD6C" w14:textId="59FE5D47"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33" w:history="1">
        <w:r w:rsidRPr="000F09AB">
          <w:rPr>
            <w:rStyle w:val="Hyperlink"/>
            <w:rFonts w:ascii="Times New Roman" w:hAnsi="Times New Roman"/>
          </w:rPr>
          <w:t>6.1.</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Uwagi ogólne</w:t>
        </w:r>
        <w:r>
          <w:rPr>
            <w:webHidden/>
          </w:rPr>
          <w:tab/>
        </w:r>
        <w:r>
          <w:rPr>
            <w:webHidden/>
          </w:rPr>
          <w:fldChar w:fldCharType="begin"/>
        </w:r>
        <w:r>
          <w:rPr>
            <w:webHidden/>
          </w:rPr>
          <w:instrText xml:space="preserve"> PAGEREF _Toc210908833 \h </w:instrText>
        </w:r>
        <w:r>
          <w:rPr>
            <w:webHidden/>
          </w:rPr>
        </w:r>
        <w:r>
          <w:rPr>
            <w:webHidden/>
          </w:rPr>
          <w:fldChar w:fldCharType="separate"/>
        </w:r>
        <w:r>
          <w:rPr>
            <w:webHidden/>
          </w:rPr>
          <w:t>16</w:t>
        </w:r>
        <w:r>
          <w:rPr>
            <w:webHidden/>
          </w:rPr>
          <w:fldChar w:fldCharType="end"/>
        </w:r>
      </w:hyperlink>
    </w:p>
    <w:p w14:paraId="12B5DD35" w14:textId="0E05F924"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34" w:history="1">
        <w:r w:rsidRPr="000F09AB">
          <w:rPr>
            <w:rStyle w:val="Hyperlink"/>
            <w:rFonts w:ascii="Times New Roman" w:hAnsi="Times New Roman"/>
          </w:rPr>
          <w:t>6.2.</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_Toc210908834 \h </w:instrText>
        </w:r>
        <w:r>
          <w:rPr>
            <w:webHidden/>
          </w:rPr>
        </w:r>
        <w:r>
          <w:rPr>
            <w:webHidden/>
          </w:rPr>
          <w:fldChar w:fldCharType="separate"/>
        </w:r>
        <w:r>
          <w:rPr>
            <w:webHidden/>
          </w:rPr>
          <w:t>17</w:t>
        </w:r>
        <w:r>
          <w:rPr>
            <w:webHidden/>
          </w:rPr>
          <w:fldChar w:fldCharType="end"/>
        </w:r>
      </w:hyperlink>
    </w:p>
    <w:p w14:paraId="65F3ECFA" w14:textId="46D373A0"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35" w:history="1">
        <w:r w:rsidRPr="000F09AB">
          <w:rPr>
            <w:rStyle w:val="Hyperlink"/>
            <w:rFonts w:ascii="Times New Roman" w:hAnsi="Times New Roman"/>
          </w:rPr>
          <w:t>7.</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C 23.00 – Ryzyko rynkowe: Ryzyko cen towarów według metod standardowych (MKR SA COM)</w:t>
        </w:r>
        <w:r>
          <w:rPr>
            <w:webHidden/>
          </w:rPr>
          <w:tab/>
        </w:r>
        <w:r>
          <w:rPr>
            <w:webHidden/>
          </w:rPr>
          <w:fldChar w:fldCharType="begin"/>
        </w:r>
        <w:r>
          <w:rPr>
            <w:webHidden/>
          </w:rPr>
          <w:instrText xml:space="preserve"> PAGEREF _Toc210908835 \h </w:instrText>
        </w:r>
        <w:r>
          <w:rPr>
            <w:webHidden/>
          </w:rPr>
        </w:r>
        <w:r>
          <w:rPr>
            <w:webHidden/>
          </w:rPr>
          <w:fldChar w:fldCharType="separate"/>
        </w:r>
        <w:r>
          <w:rPr>
            <w:webHidden/>
          </w:rPr>
          <w:t>20</w:t>
        </w:r>
        <w:r>
          <w:rPr>
            <w:webHidden/>
          </w:rPr>
          <w:fldChar w:fldCharType="end"/>
        </w:r>
      </w:hyperlink>
    </w:p>
    <w:p w14:paraId="59D731E6" w14:textId="50D8A417"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36" w:history="1">
        <w:r w:rsidRPr="000F09AB">
          <w:rPr>
            <w:rStyle w:val="Hyperlink"/>
            <w:rFonts w:ascii="Times New Roman" w:hAnsi="Times New Roman"/>
          </w:rPr>
          <w:t>7.1.</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Uwagi ogólne</w:t>
        </w:r>
        <w:r>
          <w:rPr>
            <w:webHidden/>
          </w:rPr>
          <w:tab/>
        </w:r>
        <w:r>
          <w:rPr>
            <w:webHidden/>
          </w:rPr>
          <w:fldChar w:fldCharType="begin"/>
        </w:r>
        <w:r>
          <w:rPr>
            <w:webHidden/>
          </w:rPr>
          <w:instrText xml:space="preserve"> PAGEREF _Toc210908836 \h </w:instrText>
        </w:r>
        <w:r>
          <w:rPr>
            <w:webHidden/>
          </w:rPr>
        </w:r>
        <w:r>
          <w:rPr>
            <w:webHidden/>
          </w:rPr>
          <w:fldChar w:fldCharType="separate"/>
        </w:r>
        <w:r>
          <w:rPr>
            <w:webHidden/>
          </w:rPr>
          <w:t>20</w:t>
        </w:r>
        <w:r>
          <w:rPr>
            <w:webHidden/>
          </w:rPr>
          <w:fldChar w:fldCharType="end"/>
        </w:r>
      </w:hyperlink>
    </w:p>
    <w:p w14:paraId="2FA220CB" w14:textId="55F11C62"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37" w:history="1">
        <w:r w:rsidRPr="000F09AB">
          <w:rPr>
            <w:rStyle w:val="Hyperlink"/>
            <w:rFonts w:ascii="Times New Roman" w:hAnsi="Times New Roman"/>
          </w:rPr>
          <w:t>7.2.</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_Toc210908837 \h </w:instrText>
        </w:r>
        <w:r>
          <w:rPr>
            <w:webHidden/>
          </w:rPr>
        </w:r>
        <w:r>
          <w:rPr>
            <w:webHidden/>
          </w:rPr>
          <w:fldChar w:fldCharType="separate"/>
        </w:r>
        <w:r>
          <w:rPr>
            <w:webHidden/>
          </w:rPr>
          <w:t>20</w:t>
        </w:r>
        <w:r>
          <w:rPr>
            <w:webHidden/>
          </w:rPr>
          <w:fldChar w:fldCharType="end"/>
        </w:r>
      </w:hyperlink>
    </w:p>
    <w:p w14:paraId="79D0D639" w14:textId="042F69CD"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38" w:history="1">
        <w:r w:rsidRPr="000F09AB">
          <w:rPr>
            <w:rStyle w:val="Hyperlink"/>
            <w:rFonts w:ascii="Times New Roman" w:hAnsi="Times New Roman"/>
          </w:rPr>
          <w:t>8.</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C 24.00 – Modele wewnętrzne ryzyka rynkowego (MKR IM)</w:t>
        </w:r>
        <w:r>
          <w:rPr>
            <w:webHidden/>
          </w:rPr>
          <w:tab/>
        </w:r>
        <w:r>
          <w:rPr>
            <w:webHidden/>
          </w:rPr>
          <w:fldChar w:fldCharType="begin"/>
        </w:r>
        <w:r>
          <w:rPr>
            <w:webHidden/>
          </w:rPr>
          <w:instrText xml:space="preserve"> PAGEREF _Toc210908838 \h </w:instrText>
        </w:r>
        <w:r>
          <w:rPr>
            <w:webHidden/>
          </w:rPr>
        </w:r>
        <w:r>
          <w:rPr>
            <w:webHidden/>
          </w:rPr>
          <w:fldChar w:fldCharType="separate"/>
        </w:r>
        <w:r>
          <w:rPr>
            <w:webHidden/>
          </w:rPr>
          <w:t>21</w:t>
        </w:r>
        <w:r>
          <w:rPr>
            <w:webHidden/>
          </w:rPr>
          <w:fldChar w:fldCharType="end"/>
        </w:r>
      </w:hyperlink>
    </w:p>
    <w:p w14:paraId="5BB737AD" w14:textId="6BED50A2"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39" w:history="1">
        <w:r w:rsidRPr="000F09AB">
          <w:rPr>
            <w:rStyle w:val="Hyperlink"/>
            <w:rFonts w:ascii="Times New Roman" w:hAnsi="Times New Roman"/>
          </w:rPr>
          <w:t>8.1.</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Uwagi ogólne</w:t>
        </w:r>
        <w:r>
          <w:rPr>
            <w:webHidden/>
          </w:rPr>
          <w:tab/>
        </w:r>
        <w:r>
          <w:rPr>
            <w:webHidden/>
          </w:rPr>
          <w:fldChar w:fldCharType="begin"/>
        </w:r>
        <w:r>
          <w:rPr>
            <w:webHidden/>
          </w:rPr>
          <w:instrText xml:space="preserve"> PAGEREF _Toc210908839 \h </w:instrText>
        </w:r>
        <w:r>
          <w:rPr>
            <w:webHidden/>
          </w:rPr>
        </w:r>
        <w:r>
          <w:rPr>
            <w:webHidden/>
          </w:rPr>
          <w:fldChar w:fldCharType="separate"/>
        </w:r>
        <w:r>
          <w:rPr>
            <w:webHidden/>
          </w:rPr>
          <w:t>21</w:t>
        </w:r>
        <w:r>
          <w:rPr>
            <w:webHidden/>
          </w:rPr>
          <w:fldChar w:fldCharType="end"/>
        </w:r>
      </w:hyperlink>
    </w:p>
    <w:p w14:paraId="1EDFC223" w14:textId="5DC5A565" w:rsidR="00230B10" w:rsidRDefault="00230B1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8840" w:history="1">
        <w:r w:rsidRPr="000F09AB">
          <w:rPr>
            <w:rStyle w:val="Hyperlink"/>
            <w:rFonts w:ascii="Times New Roman" w:hAnsi="Times New Roman"/>
          </w:rPr>
          <w:t>8.2.</w:t>
        </w:r>
        <w:r>
          <w:rPr>
            <w:rFonts w:asciiTheme="minorHAnsi" w:eastAsiaTheme="minorEastAsia" w:hAnsiTheme="minorHAnsi" w:cstheme="minorBidi"/>
            <w:b w:val="0"/>
            <w:smallCaps w:val="0"/>
            <w:kern w:val="2"/>
            <w:sz w:val="24"/>
            <w:szCs w:val="24"/>
            <w:lang w:val="en-IE" w:eastAsia="en-IE"/>
            <w14:ligatures w14:val="standardContextual"/>
          </w:rPr>
          <w:tab/>
        </w:r>
        <w:r w:rsidRPr="000F09AB">
          <w:rPr>
            <w:rStyle w:val="Hyperlink"/>
            <w:rFonts w:ascii="Times New Roman" w:hAnsi="Times New Roman"/>
          </w:rPr>
          <w:t>Instrukcje dotyczące poszczególnych pozycji</w:t>
        </w:r>
        <w:r>
          <w:rPr>
            <w:webHidden/>
          </w:rPr>
          <w:tab/>
        </w:r>
        <w:r>
          <w:rPr>
            <w:webHidden/>
          </w:rPr>
          <w:fldChar w:fldCharType="begin"/>
        </w:r>
        <w:r>
          <w:rPr>
            <w:webHidden/>
          </w:rPr>
          <w:instrText xml:space="preserve"> PAGEREF _Toc210908840 \h </w:instrText>
        </w:r>
        <w:r>
          <w:rPr>
            <w:webHidden/>
          </w:rPr>
        </w:r>
        <w:r>
          <w:rPr>
            <w:webHidden/>
          </w:rPr>
          <w:fldChar w:fldCharType="separate"/>
        </w:r>
        <w:r>
          <w:rPr>
            <w:webHidden/>
          </w:rPr>
          <w:t>22</w:t>
        </w:r>
        <w:r>
          <w:rPr>
            <w:webHidden/>
          </w:rPr>
          <w:fldChar w:fldCharType="end"/>
        </w:r>
      </w:hyperlink>
    </w:p>
    <w:p w14:paraId="4325A1DC" w14:textId="09278DD6" w:rsidR="002648B0" w:rsidRPr="00696301" w:rsidRDefault="00745369" w:rsidP="00005FFC">
      <w:pPr>
        <w:rPr>
          <w:rFonts w:ascii="Times New Roman" w:hAnsi="Times New Roman"/>
          <w:sz w:val="24"/>
        </w:rPr>
        <w:sectPr w:rsidR="002648B0" w:rsidRPr="00696301" w:rsidSect="004D4419">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65DEB04A" w14:textId="77777777" w:rsidR="002648B0" w:rsidRPr="002D60D7" w:rsidRDefault="002648B0" w:rsidP="004C445F">
      <w:pPr>
        <w:pStyle w:val="Heading2"/>
        <w:suppressAutoHyphens/>
        <w:rPr>
          <w:rFonts w:ascii="Times New Roman" w:hAnsi="Times New Roman"/>
        </w:rPr>
      </w:pPr>
      <w:bookmarkStart w:id="2" w:name="_Toc264038394"/>
      <w:bookmarkStart w:id="3" w:name="_Toc360188317"/>
      <w:bookmarkStart w:id="4" w:name="_Toc473560865"/>
      <w:bookmarkStart w:id="5" w:name="_Toc210908813"/>
      <w:r>
        <w:rPr>
          <w:rFonts w:ascii="Times New Roman" w:hAnsi="Times New Roman"/>
        </w:rPr>
        <w:lastRenderedPageBreak/>
        <w:t>CZĘŚĆ I:</w:t>
      </w:r>
      <w:bookmarkEnd w:id="2"/>
      <w:r>
        <w:rPr>
          <w:rFonts w:ascii="Times New Roman" w:hAnsi="Times New Roman"/>
        </w:rPr>
        <w:t xml:space="preserve"> INSTRUKCJE OGÓLNE</w:t>
      </w:r>
      <w:bookmarkEnd w:id="3"/>
      <w:bookmarkEnd w:id="4"/>
      <w:bookmarkEnd w:id="5"/>
    </w:p>
    <w:p w14:paraId="2B1DE452" w14:textId="3C4AA749"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6" w:name="_Toc360188318"/>
      <w:bookmarkStart w:id="7" w:name="_Toc473560866"/>
      <w:bookmarkStart w:id="8" w:name="_Toc210908814"/>
      <w:r>
        <w:rPr>
          <w:rFonts w:ascii="Times New Roman" w:hAnsi="Times New Roman"/>
          <w:sz w:val="24"/>
          <w:u w:val="none"/>
        </w:rPr>
        <w:t>1.</w:t>
      </w:r>
      <w:r>
        <w:tab/>
      </w:r>
      <w:r>
        <w:rPr>
          <w:rFonts w:ascii="Times New Roman" w:hAnsi="Times New Roman"/>
          <w:sz w:val="24"/>
          <w:u w:val="none"/>
        </w:rPr>
        <w:t>KONWENCJE</w:t>
      </w:r>
      <w:bookmarkEnd w:id="6"/>
      <w:bookmarkEnd w:id="7"/>
      <w:bookmarkEnd w:id="8"/>
    </w:p>
    <w:p w14:paraId="691FE691" w14:textId="6FA2FF51"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9" w:name="_Toc360188320"/>
      <w:bookmarkStart w:id="10" w:name="_Toc473560868"/>
      <w:bookmarkStart w:id="11" w:name="_Toc210908815"/>
      <w:bookmarkStart w:id="12" w:name="_Toc264038399"/>
      <w:bookmarkStart w:id="13" w:name="_Toc294018834"/>
      <w:r>
        <w:rPr>
          <w:rFonts w:ascii="Times New Roman" w:hAnsi="Times New Roman"/>
          <w:sz w:val="24"/>
          <w:u w:val="none"/>
        </w:rPr>
        <w:t>1.1.</w:t>
      </w:r>
      <w:r>
        <w:tab/>
      </w:r>
      <w:r>
        <w:rPr>
          <w:rFonts w:ascii="Times New Roman" w:hAnsi="Times New Roman"/>
          <w:sz w:val="24"/>
          <w:u w:val="none"/>
        </w:rPr>
        <w:t>Konwencja numerowania</w:t>
      </w:r>
      <w:bookmarkEnd w:id="9"/>
      <w:bookmarkEnd w:id="10"/>
      <w:bookmarkEnd w:id="11"/>
    </w:p>
    <w:p w14:paraId="07DD29A3" w14:textId="3ADB010A" w:rsidR="002648B0" w:rsidRPr="002D60D7" w:rsidRDefault="002648B0" w:rsidP="00E172EA">
      <w:pPr>
        <w:pStyle w:val="InstructionsText2"/>
        <w:numPr>
          <w:ilvl w:val="0"/>
          <w:numId w:val="29"/>
        </w:numPr>
        <w:suppressAutoHyphens/>
      </w:pPr>
      <w:r>
        <w:t>W przypadku odniesień do kolumn, wierszy i komórek poszczególnych wzorów w dokumencie przestrzega się konwencji oznaczania przedstawionej w pkt 2–5. Przedmiotowe kody numeryczne znajdują szerokie zastosowanie w zasadach walidacji.</w:t>
      </w:r>
    </w:p>
    <w:p w14:paraId="4A930757" w14:textId="35786EEA" w:rsidR="005643EA" w:rsidRPr="002D60D7" w:rsidRDefault="002648B0" w:rsidP="00E172EA">
      <w:pPr>
        <w:pStyle w:val="InstructionsText2"/>
        <w:numPr>
          <w:ilvl w:val="0"/>
          <w:numId w:val="29"/>
        </w:numPr>
        <w:suppressAutoHyphens/>
      </w:pPr>
      <w:r>
        <w:t>W instrukcjach stosowany jest następujący ogólny zapis: {wzór; wiersz; kolumna}.</w:t>
      </w:r>
    </w:p>
    <w:p w14:paraId="058D6622" w14:textId="0D8EC818" w:rsidR="002648B0" w:rsidRPr="002D60D7" w:rsidRDefault="002648B0" w:rsidP="00E172EA">
      <w:pPr>
        <w:pStyle w:val="InstructionsText2"/>
        <w:numPr>
          <w:ilvl w:val="0"/>
          <w:numId w:val="29"/>
        </w:numPr>
        <w:suppressAutoHyphens/>
      </w:pPr>
      <w:r>
        <w:t>W przypadku walidacji wewnątrz wzoru, w których stosuje się tylko punkty danych z tego wzoru, adnotacje nie odnoszą się do wzoru: {wiersz; kolumna}.</w:t>
      </w:r>
    </w:p>
    <w:p w14:paraId="1C93CB72" w14:textId="27E06172" w:rsidR="005643EA" w:rsidRPr="002D60D7" w:rsidRDefault="002648B0" w:rsidP="00E172EA">
      <w:pPr>
        <w:pStyle w:val="InstructionsText2"/>
        <w:numPr>
          <w:ilvl w:val="0"/>
          <w:numId w:val="29"/>
        </w:numPr>
        <w:suppressAutoHyphens/>
      </w:pPr>
      <w:r>
        <w:t>W przypadku wzorów zawierających tylko jedną kolumnę adnotacja odnosi się tylko do wierszy: {wzór; wiersz}.</w:t>
      </w:r>
    </w:p>
    <w:p w14:paraId="6CF08484" w14:textId="337CEEA0" w:rsidR="002648B0" w:rsidRPr="002D60D7" w:rsidRDefault="002648B0" w:rsidP="00E172EA">
      <w:pPr>
        <w:pStyle w:val="InstructionsText2"/>
        <w:numPr>
          <w:ilvl w:val="0"/>
          <w:numId w:val="29"/>
        </w:numPr>
        <w:suppressAutoHyphens/>
      </w:pPr>
      <w:r>
        <w:t>Znaku gwiazdki używa się do wskazania, że walidacja jest wykonywana dla wcześniej określonych wierszy lub kolumn.</w:t>
      </w:r>
    </w:p>
    <w:p w14:paraId="6218AD51" w14:textId="365F36D8"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14" w:name="_Toc360188321"/>
      <w:bookmarkStart w:id="15" w:name="_Toc473560869"/>
      <w:bookmarkStart w:id="16" w:name="_Toc210908816"/>
      <w:r>
        <w:rPr>
          <w:rFonts w:ascii="Times New Roman" w:hAnsi="Times New Roman"/>
          <w:sz w:val="24"/>
          <w:u w:val="none"/>
        </w:rPr>
        <w:t>1.2.</w:t>
      </w:r>
      <w:r>
        <w:tab/>
      </w:r>
      <w:r>
        <w:rPr>
          <w:rFonts w:ascii="Times New Roman" w:hAnsi="Times New Roman"/>
          <w:sz w:val="24"/>
          <w:u w:val="none"/>
        </w:rPr>
        <w:t>Konwencja znaku</w:t>
      </w:r>
      <w:bookmarkEnd w:id="12"/>
      <w:bookmarkEnd w:id="13"/>
      <w:bookmarkEnd w:id="14"/>
      <w:bookmarkEnd w:id="15"/>
      <w:bookmarkEnd w:id="16"/>
    </w:p>
    <w:p w14:paraId="67BDF5E2" w14:textId="769DF459" w:rsidR="002648B0" w:rsidRDefault="002648B0" w:rsidP="00E172EA">
      <w:pPr>
        <w:pStyle w:val="InstructionsText2"/>
        <w:numPr>
          <w:ilvl w:val="0"/>
          <w:numId w:val="29"/>
        </w:numPr>
        <w:suppressAutoHyphens/>
      </w:pPr>
      <w:r>
        <w:t>Każdą kwotę, która zwiększa fundusze własne lub wymogi kapitałowe, zgłasza się jako wartość dodatnią. Każdą kwotę, która zmniejsza fundusze własne lub wymogi kapitałowe, zgłasza się natomiast jako wartość ujemną. Jeżeli przed oznaczeniem pozycji znajduje się znak ujemny (-), dla tej pozycji nie oczekuje się zgłoszenia wartości dodatniej.</w:t>
      </w:r>
    </w:p>
    <w:p w14:paraId="21FCA11B" w14:textId="044801DB" w:rsidR="00843119" w:rsidRPr="00843119" w:rsidRDefault="00843119" w:rsidP="00843119">
      <w:pPr>
        <w:pStyle w:val="Instructionsberschrift2"/>
        <w:numPr>
          <w:ilvl w:val="0"/>
          <w:numId w:val="0"/>
        </w:numPr>
        <w:suppressAutoHyphens/>
        <w:ind w:left="357" w:hanging="357"/>
        <w:rPr>
          <w:rFonts w:ascii="Times New Roman" w:hAnsi="Times New Roman" w:cs="Times New Roman"/>
          <w:sz w:val="24"/>
          <w:u w:val="none"/>
        </w:rPr>
      </w:pPr>
      <w:bookmarkStart w:id="17" w:name="_Toc210908817"/>
      <w:r>
        <w:rPr>
          <w:rFonts w:ascii="Times New Roman" w:hAnsi="Times New Roman"/>
          <w:sz w:val="24"/>
          <w:u w:val="none"/>
        </w:rPr>
        <w:t>1.3.</w:t>
      </w:r>
      <w:r>
        <w:tab/>
      </w:r>
      <w:r>
        <w:rPr>
          <w:rFonts w:ascii="Times New Roman" w:hAnsi="Times New Roman"/>
          <w:sz w:val="24"/>
          <w:u w:val="none"/>
        </w:rPr>
        <w:t>Odesłania do rozporządzenia (UE) 575/2013</w:t>
      </w:r>
      <w:bookmarkEnd w:id="17"/>
    </w:p>
    <w:p w14:paraId="59845808" w14:textId="11AE211B" w:rsidR="00843119" w:rsidRPr="002D60D7" w:rsidRDefault="00843119" w:rsidP="00E172EA">
      <w:pPr>
        <w:pStyle w:val="InstructionsText2"/>
        <w:numPr>
          <w:ilvl w:val="0"/>
          <w:numId w:val="29"/>
        </w:numPr>
        <w:suppressAutoHyphens/>
      </w:pPr>
      <w:r>
        <w:t xml:space="preserve">Wszystkie odesłania do art. 325–377 rozporządzenia (UE) nr 575/2013 odczytuje się jako odesłania do tego rozporządzenia w brzmieniu obowiązującym w dniu 26 czerwca 2019 r. </w:t>
      </w:r>
    </w:p>
    <w:p w14:paraId="178F0A93" w14:textId="77777777" w:rsidR="00843119" w:rsidRPr="002D60D7" w:rsidRDefault="00843119" w:rsidP="00843119">
      <w:pPr>
        <w:pStyle w:val="InstructionsText2"/>
        <w:numPr>
          <w:ilvl w:val="0"/>
          <w:numId w:val="0"/>
        </w:numPr>
        <w:suppressAutoHyphens/>
      </w:pPr>
    </w:p>
    <w:p w14:paraId="69E08A1F" w14:textId="26A864E9" w:rsidR="00304CA5" w:rsidRPr="002D60D7" w:rsidRDefault="00304CA5" w:rsidP="004C445F">
      <w:pPr>
        <w:pStyle w:val="InstructionsText2"/>
        <w:numPr>
          <w:ilvl w:val="0"/>
          <w:numId w:val="0"/>
        </w:numPr>
        <w:suppressAutoHyphens/>
        <w:ind w:left="1353" w:hanging="360"/>
      </w:pPr>
    </w:p>
    <w:p w14:paraId="661FC092" w14:textId="77777777" w:rsidR="00304CA5" w:rsidRPr="002D60D7" w:rsidRDefault="00304CA5" w:rsidP="004C445F">
      <w:pPr>
        <w:pStyle w:val="InstructionsText2"/>
        <w:numPr>
          <w:ilvl w:val="0"/>
          <w:numId w:val="0"/>
        </w:numPr>
        <w:suppressAutoHyphens/>
        <w:ind w:left="1353" w:hanging="360"/>
      </w:pPr>
    </w:p>
    <w:p w14:paraId="6B2B7DCC" w14:textId="77777777" w:rsidR="002648B0" w:rsidRPr="002D60D7" w:rsidRDefault="002648B0" w:rsidP="004C445F">
      <w:pPr>
        <w:pStyle w:val="InstructionsText2"/>
        <w:suppressAutoHyphens/>
        <w:sectPr w:rsidR="002648B0" w:rsidRPr="002D60D7" w:rsidSect="00A801A9">
          <w:endnotePr>
            <w:numFmt w:val="decimal"/>
          </w:endnotePr>
          <w:pgSz w:w="11906" w:h="16838"/>
          <w:pgMar w:top="1417" w:right="1417" w:bottom="1134" w:left="1417" w:header="708" w:footer="708" w:gutter="0"/>
          <w:cols w:space="708"/>
          <w:rtlGutter/>
          <w:docGrid w:linePitch="360"/>
        </w:sectPr>
      </w:pPr>
    </w:p>
    <w:p w14:paraId="7E85F65D" w14:textId="77777777" w:rsidR="002648B0" w:rsidRPr="002D60D7" w:rsidRDefault="002648B0" w:rsidP="004C445F">
      <w:pPr>
        <w:suppressAutoHyphens/>
        <w:rPr>
          <w:rFonts w:ascii="Times New Roman" w:hAnsi="Times New Roman"/>
          <w:sz w:val="24"/>
        </w:rPr>
      </w:pPr>
    </w:p>
    <w:p w14:paraId="5C0CD8F3" w14:textId="25D58192" w:rsidR="00AC6255" w:rsidRPr="002D60D7" w:rsidRDefault="002648B0" w:rsidP="004C445F">
      <w:pPr>
        <w:pStyle w:val="Heading2"/>
        <w:suppressAutoHyphens/>
        <w:rPr>
          <w:rStyle w:val="InstructionsTabelleText"/>
          <w:rFonts w:ascii="Times New Roman" w:hAnsi="Times New Roman"/>
          <w:sz w:val="24"/>
        </w:rPr>
      </w:pPr>
      <w:bookmarkStart w:id="18" w:name="_Toc360188322"/>
      <w:bookmarkStart w:id="19" w:name="_Toc473560870"/>
      <w:bookmarkStart w:id="20" w:name="_Toc210908818"/>
      <w:r>
        <w:rPr>
          <w:rFonts w:ascii="Times New Roman" w:hAnsi="Times New Roman"/>
        </w:rPr>
        <w:t>CZĘŚĆ II: INSTRUKCJE DOTYCZĄCE WZORÓW</w:t>
      </w:r>
      <w:bookmarkEnd w:id="18"/>
      <w:bookmarkEnd w:id="19"/>
      <w:r>
        <w:rPr>
          <w:rFonts w:ascii="Times New Roman" w:hAnsi="Times New Roman"/>
        </w:rPr>
        <w:t>: WZORY DOTYCZĄCE RYZYKA RYNKOWEGO</w:t>
      </w:r>
      <w:bookmarkEnd w:id="0"/>
      <w:bookmarkEnd w:id="1"/>
      <w:bookmarkEnd w:id="20"/>
    </w:p>
    <w:p w14:paraId="73EBDC1C" w14:textId="2EF76A90" w:rsidR="000B0B09" w:rsidRPr="002D60D7" w:rsidRDefault="00033301" w:rsidP="004C445F">
      <w:pPr>
        <w:pStyle w:val="Instructionsberschrift2"/>
        <w:numPr>
          <w:ilvl w:val="0"/>
          <w:numId w:val="0"/>
        </w:numPr>
        <w:suppressAutoHyphens/>
        <w:ind w:left="357" w:hanging="357"/>
        <w:rPr>
          <w:rFonts w:ascii="Times New Roman" w:hAnsi="Times New Roman" w:cs="Times New Roman"/>
          <w:sz w:val="24"/>
        </w:rPr>
      </w:pPr>
      <w:bookmarkStart w:id="21" w:name="_Toc295829995"/>
      <w:bookmarkStart w:id="22" w:name="_Toc262566425"/>
      <w:bookmarkStart w:id="23" w:name="_Toc308426671"/>
      <w:bookmarkStart w:id="24" w:name="_Toc310415056"/>
      <w:bookmarkStart w:id="25" w:name="_Toc360188391"/>
      <w:bookmarkStart w:id="26" w:name="_Toc473561031"/>
      <w:bookmarkStart w:id="27" w:name="_Toc210908819"/>
      <w:r>
        <w:rPr>
          <w:rFonts w:ascii="Times New Roman" w:hAnsi="Times New Roman"/>
          <w:sz w:val="24"/>
          <w:u w:val="none"/>
        </w:rPr>
        <w:t>1.</w:t>
      </w:r>
      <w:r>
        <w:tab/>
      </w:r>
      <w:bookmarkEnd w:id="21"/>
      <w:bookmarkEnd w:id="22"/>
      <w:bookmarkEnd w:id="23"/>
      <w:bookmarkEnd w:id="24"/>
      <w:bookmarkEnd w:id="25"/>
      <w:bookmarkEnd w:id="26"/>
      <w:r>
        <w:rPr>
          <w:rFonts w:ascii="Times New Roman" w:hAnsi="Times New Roman"/>
          <w:sz w:val="24"/>
        </w:rPr>
        <w:t>Uwagi ogólne</w:t>
      </w:r>
      <w:bookmarkEnd w:id="27"/>
    </w:p>
    <w:p w14:paraId="3A680559" w14:textId="018BA68A" w:rsidR="000B0B09" w:rsidRPr="002D60D7" w:rsidRDefault="000B0B09" w:rsidP="00E172EA">
      <w:pPr>
        <w:pStyle w:val="InstructionsText2"/>
        <w:numPr>
          <w:ilvl w:val="0"/>
          <w:numId w:val="29"/>
        </w:numPr>
        <w:suppressAutoHyphens/>
      </w:pPr>
      <w:bookmarkStart w:id="28" w:name="_Toc308426672"/>
      <w:r>
        <w:t xml:space="preserve">Niniejsze instrukcje odnoszą się do wzorów przedstawiania informacji dotyczących obliczania wymogów w zakresie funduszy własnych zgodnie z metodą standardową w odniesieniu do ryzyka walutowego (MKR SA FX), ryzyka cen towarów (MKR SA COM), ryzyka stopy procentowej (MKR SA TDI, MKR SA SEC, MKR SA CTP) i ryzyka cen akcji (MKR SA EQU). Ponadto w niniejszej części zawarto instrukcje w odniesieniu do wzoru przedstawiania informacji dotyczących obliczania wymogów w zakresie funduszy własnych zgodnie z metodą modeli wewnętrznych (MKR IM). </w:t>
      </w:r>
    </w:p>
    <w:p w14:paraId="43A205D1" w14:textId="5DC446A2" w:rsidR="000B0B09" w:rsidRPr="002D60D7" w:rsidRDefault="000B0B09" w:rsidP="00E172EA">
      <w:pPr>
        <w:pStyle w:val="InstructionsText2"/>
        <w:numPr>
          <w:ilvl w:val="0"/>
          <w:numId w:val="29"/>
        </w:numPr>
        <w:suppressAutoHyphens/>
      </w:pPr>
      <w:r>
        <w:t xml:space="preserve">Ryzyko pozycji z tytułu rynkowego instrumentu dłużnego lub akcji (bądź instrumentu pochodnego od rynkowego instrumentu dłużnego lub instrumentu pochodnego opartego na akcjach) dzieli się na dwa elementy dla celów obliczenia kapitału wymaganego z tytułu tego ryzyka pozycji. Pierwszy element pokrywa ryzyko szczególne tej pozycji – jest to ryzyko zmiany ceny danego instrumentu w następstwie czynników związanych z jego emitentem lub, w przypadku instrumentu pochodnego, czynników związanych z emitentem instrumentu bazowego. Drugi element obejmuje ryzyko ogólne – jest to ryzyko zmiany ceny danego instrumentu w następstwie zmiany wysokości stóp procentowych (w przypadku rynkowego instrumentu dłużnego lub instrumentu od niego pochodnego) lub (w przypadku akcji lub instrumentu pochodnego opartego na akcjach) ruchu na szerokim rynku akcji niezwiązanego z żadnymi konkretnymi atrybutami poszczególnych papierów wartościowych. </w:t>
      </w:r>
      <w:bookmarkEnd w:id="28"/>
      <w:r>
        <w:t xml:space="preserve">Podejście ogólne do szczególnych instrumentów i procedury kompensowania określono w art. 326–333 rozporządzenia (UE) nr 575/2013. </w:t>
      </w:r>
    </w:p>
    <w:p w14:paraId="39C5FEA4" w14:textId="3A15092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29" w:name="_Toc239157393"/>
      <w:bookmarkStart w:id="30" w:name="_Toc262566426"/>
      <w:bookmarkStart w:id="31" w:name="_Toc295829996"/>
      <w:bookmarkStart w:id="32" w:name="_Toc308426673"/>
      <w:bookmarkStart w:id="33" w:name="_Toc310415057"/>
      <w:bookmarkStart w:id="34" w:name="_Toc360188392"/>
      <w:bookmarkStart w:id="35" w:name="_Toc473561032"/>
      <w:bookmarkStart w:id="36" w:name="_Toc210908820"/>
      <w:r>
        <w:rPr>
          <w:rFonts w:ascii="Times New Roman" w:hAnsi="Times New Roman"/>
          <w:sz w:val="24"/>
          <w:u w:val="none"/>
        </w:rPr>
        <w:t>2.</w:t>
      </w:r>
      <w:r>
        <w:tab/>
      </w:r>
      <w:r>
        <w:rPr>
          <w:rFonts w:ascii="Times New Roman" w:hAnsi="Times New Roman"/>
          <w:sz w:val="24"/>
        </w:rPr>
        <w:t>C 18.00 – Ryzyko rynkowe: Ryzyko pozycji z tytułu rynkowych instrumentów dłużnych według metody standardowej</w:t>
      </w:r>
      <w:bookmarkEnd w:id="29"/>
      <w:bookmarkEnd w:id="30"/>
      <w:bookmarkEnd w:id="31"/>
      <w:bookmarkEnd w:id="32"/>
      <w:bookmarkEnd w:id="33"/>
      <w:bookmarkEnd w:id="34"/>
      <w:r>
        <w:rPr>
          <w:rFonts w:ascii="Times New Roman" w:hAnsi="Times New Roman"/>
          <w:sz w:val="24"/>
        </w:rPr>
        <w:t xml:space="preserve"> (MKR SA TDI)</w:t>
      </w:r>
      <w:bookmarkEnd w:id="35"/>
      <w:bookmarkEnd w:id="36"/>
    </w:p>
    <w:p w14:paraId="7BC699A3" w14:textId="5102524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37" w:name="_Toc262566427"/>
      <w:bookmarkStart w:id="38" w:name="_Toc295829997"/>
      <w:bookmarkStart w:id="39" w:name="_Toc308426674"/>
      <w:bookmarkStart w:id="40" w:name="_Toc310415058"/>
      <w:bookmarkStart w:id="41" w:name="_Toc360188393"/>
      <w:bookmarkStart w:id="42" w:name="_Toc473561033"/>
      <w:bookmarkStart w:id="43" w:name="_Toc210908821"/>
      <w:r>
        <w:rPr>
          <w:rFonts w:ascii="Times New Roman" w:hAnsi="Times New Roman"/>
          <w:sz w:val="24"/>
          <w:u w:val="none"/>
        </w:rPr>
        <w:t>2.1.</w:t>
      </w:r>
      <w:r>
        <w:tab/>
      </w:r>
      <w:r>
        <w:rPr>
          <w:rFonts w:ascii="Times New Roman" w:hAnsi="Times New Roman"/>
          <w:sz w:val="24"/>
        </w:rPr>
        <w:t>Uwagi ogólne</w:t>
      </w:r>
      <w:bookmarkEnd w:id="37"/>
      <w:bookmarkEnd w:id="38"/>
      <w:bookmarkEnd w:id="39"/>
      <w:bookmarkEnd w:id="40"/>
      <w:bookmarkEnd w:id="41"/>
      <w:bookmarkEnd w:id="42"/>
      <w:bookmarkEnd w:id="43"/>
    </w:p>
    <w:p w14:paraId="0D010E09" w14:textId="7FC9D177" w:rsidR="000B0B09" w:rsidRPr="002D60D7" w:rsidRDefault="000B0B09" w:rsidP="00E172EA">
      <w:pPr>
        <w:pStyle w:val="InstructionsText2"/>
        <w:numPr>
          <w:ilvl w:val="0"/>
          <w:numId w:val="29"/>
        </w:numPr>
        <w:suppressAutoHyphens/>
        <w:ind w:left="1349" w:hanging="357"/>
      </w:pPr>
      <w:r>
        <w:t>Przedmiotowy wzór obejmuje pozycje i powiązane wymogi w zakresie funduszy własnych dotyczące ryzyka pozycji z tytułu rynkowych instrumentów dłużnych według metody standardowej (art. 325 ust. 2 lit. a) rozporządzenia (UE) nr 575/2013). Różne rodzaje ryzyka i metody dostępne na mocy rozporządzenia (UE) nr 575/2013 uznaje się według wierszy. Ryzyko szczególne związane z ekspozycjami zawartymi we wzorach MKR SA SEC i MKR SA CTP zgłasza się we wzorze MKR SA TDI jedynie jako wartość łączną. Wymogi w zakresie funduszy własnych zgłaszane w przedmiotowych wzorach przenosi się odpowiednio do komórek {0325;0060} (sekurytyzacje) i {0330;0060} (korelacyjny portfel handlowy).</w:t>
      </w:r>
    </w:p>
    <w:p w14:paraId="7C8420A5" w14:textId="3BAA75DB" w:rsidR="000B0B09" w:rsidRPr="002D60D7" w:rsidRDefault="000B0B09" w:rsidP="00E172EA">
      <w:pPr>
        <w:pStyle w:val="InstructionsText2"/>
        <w:numPr>
          <w:ilvl w:val="0"/>
          <w:numId w:val="29"/>
        </w:numPr>
        <w:suppressAutoHyphens/>
      </w:pPr>
      <w:r>
        <w:t xml:space="preserve">Ten wzór należy wypełnić osobno w odniesieniu do wartości łącznej, kolejny wzór wypełnia się dla wcześniej ustalonej listy następujących walut: </w:t>
      </w:r>
      <w:bookmarkStart w:id="44" w:name="OLE_LINK1"/>
      <w:r>
        <w:t xml:space="preserve">EUR, ALL, BGN, CZK, DKK, EGP, GBP, HUF, ISK, JPY, MKD, NOK, PLN, RON, RUB, </w:t>
      </w:r>
      <w:r>
        <w:lastRenderedPageBreak/>
        <w:t>RSD, SEK, CHF, TRY, UAH, USD</w:t>
      </w:r>
      <w:bookmarkEnd w:id="44"/>
      <w:r>
        <w:t xml:space="preserve"> oraz jeden rezydualny wzór dla wszystkich pozostałych walut. </w:t>
      </w:r>
    </w:p>
    <w:p w14:paraId="73E54EAD" w14:textId="5995991C"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45" w:name="_Toc262566428"/>
      <w:bookmarkStart w:id="46" w:name="_Toc295829998"/>
      <w:bookmarkStart w:id="47" w:name="_Toc308426675"/>
      <w:bookmarkStart w:id="48" w:name="_Toc310415059"/>
      <w:bookmarkStart w:id="49" w:name="_Toc360188394"/>
      <w:bookmarkStart w:id="50" w:name="_Toc473561034"/>
      <w:bookmarkStart w:id="51" w:name="_Toc210908822"/>
      <w:r>
        <w:rPr>
          <w:rFonts w:ascii="Times New Roman" w:hAnsi="Times New Roman"/>
          <w:sz w:val="24"/>
          <w:u w:val="none"/>
        </w:rPr>
        <w:t>2.2.</w:t>
      </w:r>
      <w:r>
        <w:tab/>
      </w:r>
      <w:r>
        <w:rPr>
          <w:rFonts w:ascii="Times New Roman" w:hAnsi="Times New Roman"/>
          <w:sz w:val="24"/>
        </w:rPr>
        <w:t>Instrukcje dotyczące poszczególnych pozycji</w:t>
      </w:r>
      <w:bookmarkEnd w:id="45"/>
      <w:bookmarkEnd w:id="46"/>
      <w:bookmarkEnd w:id="47"/>
      <w:bookmarkEnd w:id="48"/>
      <w:bookmarkEnd w:id="49"/>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3B011B78" w14:textId="77777777" w:rsidTr="00672D2A">
        <w:trPr>
          <w:trHeight w:val="569"/>
        </w:trPr>
        <w:tc>
          <w:tcPr>
            <w:tcW w:w="8862" w:type="dxa"/>
            <w:gridSpan w:val="2"/>
            <w:shd w:val="clear" w:color="auto" w:fill="CCCCCC"/>
          </w:tcPr>
          <w:p w14:paraId="3F08430D"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Kolumny</w:t>
            </w:r>
          </w:p>
        </w:tc>
      </w:tr>
      <w:tr w:rsidR="000B0B09" w:rsidRPr="002D60D7" w14:paraId="2FB66B69" w14:textId="77777777" w:rsidTr="00672D2A">
        <w:tc>
          <w:tcPr>
            <w:tcW w:w="988" w:type="dxa"/>
          </w:tcPr>
          <w:p w14:paraId="3487AAF4"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WSZYSTKIE POZYCJE (DŁUGIE I KRÓTKIE)</w:t>
            </w:r>
          </w:p>
          <w:p w14:paraId="0C799784" w14:textId="3AE5C422" w:rsidR="000B0B09" w:rsidRPr="002D60D7" w:rsidRDefault="000B0B09" w:rsidP="004C445F">
            <w:pPr>
              <w:suppressAutoHyphens/>
              <w:rPr>
                <w:rFonts w:ascii="Times New Roman" w:hAnsi="Times New Roman"/>
                <w:sz w:val="24"/>
              </w:rPr>
            </w:pPr>
            <w:r>
              <w:rPr>
                <w:rFonts w:ascii="Times New Roman" w:hAnsi="Times New Roman"/>
                <w:sz w:val="24"/>
              </w:rPr>
              <w:t>Art. 102 i art. 105 ust. 1 rozporządzenia (UE) nr 575/2013. Są to pozycje brutto nieskompensowane przez instrumenty, lecz z wyłączeniem pozycji z tytułu gwarantowania emisji, które są subskrybowane lub regwarantowane przez osoby trzecie, zgodnie z art. 345 ust. 1 akapit pierwszy zdanie drugie rozporządzenia (UE) nr 575/2013. W kwestii rozróżnienia pomiędzy pozycjami długimi i krótkimi, stosowanego również w odniesieniu do pozycji brutto, zob. art. 328 ust. 2 tego rozporządzenia.</w:t>
            </w:r>
          </w:p>
        </w:tc>
      </w:tr>
      <w:tr w:rsidR="000B0B09" w:rsidRPr="002D60D7" w14:paraId="05A2AFD3" w14:textId="77777777" w:rsidTr="00672D2A">
        <w:tc>
          <w:tcPr>
            <w:tcW w:w="988" w:type="dxa"/>
          </w:tcPr>
          <w:p w14:paraId="0443676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NETTO (DŁUGIE I KRÓTKIE)</w:t>
            </w:r>
          </w:p>
          <w:p w14:paraId="38649486" w14:textId="2801053C" w:rsidR="000B0B09" w:rsidRPr="002D60D7" w:rsidRDefault="000B0B09" w:rsidP="004C445F">
            <w:pPr>
              <w:suppressAutoHyphens/>
              <w:rPr>
                <w:rFonts w:ascii="Times New Roman" w:hAnsi="Times New Roman"/>
                <w:sz w:val="24"/>
              </w:rPr>
            </w:pPr>
            <w:r>
              <w:rPr>
                <w:rFonts w:ascii="Times New Roman" w:hAnsi="Times New Roman"/>
                <w:sz w:val="24"/>
              </w:rPr>
              <w:t>Art. 327–329 i art. 334 rozporządzenia (UE) nr 575/2013. W kwestii rozróżnienia pomiędzy pozycjami długimi i krótkimi zob. art. 328 ust. 2 tego rozporządzenia.</w:t>
            </w:r>
          </w:p>
        </w:tc>
      </w:tr>
      <w:tr w:rsidR="000B0B09" w:rsidRPr="002D60D7" w14:paraId="4C7D46FF" w14:textId="77777777" w:rsidTr="00672D2A">
        <w:tc>
          <w:tcPr>
            <w:tcW w:w="988" w:type="dxa"/>
          </w:tcPr>
          <w:p w14:paraId="4D3FEEA5"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PODLEGAJĄCE NARZUTOWI KAPITAŁOWEMU</w:t>
            </w:r>
          </w:p>
          <w:p w14:paraId="76B658E5" w14:textId="79039FA9" w:rsidR="000B0B09" w:rsidRPr="002D60D7" w:rsidRDefault="000B0B09" w:rsidP="004C445F">
            <w:pPr>
              <w:suppressAutoHyphens/>
              <w:rPr>
                <w:rFonts w:ascii="Times New Roman" w:hAnsi="Times New Roman"/>
                <w:b/>
                <w:bCs/>
                <w:sz w:val="24"/>
                <w:u w:val="single"/>
              </w:rPr>
            </w:pPr>
            <w:r>
              <w:rPr>
                <w:rFonts w:ascii="Times New Roman" w:hAnsi="Times New Roman"/>
                <w:sz w:val="24"/>
              </w:rPr>
              <w:t>Te pozycje netto, które zgodnie z różnymi metodami uwzględnionymi w części trzeciej tytuł IV rozdział 2 rozporządzenia (UE) nr 575/2013 otrzymują narzut kapitałowy.</w:t>
            </w:r>
          </w:p>
        </w:tc>
      </w:tr>
      <w:tr w:rsidR="000B0B09" w:rsidRPr="002D60D7" w14:paraId="017C014C" w14:textId="77777777" w:rsidTr="00672D2A">
        <w:tc>
          <w:tcPr>
            <w:tcW w:w="988" w:type="dxa"/>
          </w:tcPr>
          <w:p w14:paraId="7D197D9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WYMOGI W ZAKRESIE FUNDUSZY WŁASNYCH</w:t>
            </w:r>
          </w:p>
          <w:p w14:paraId="74F1F61F" w14:textId="12ADC1C1" w:rsidR="000B0B09" w:rsidRPr="002D60D7" w:rsidRDefault="000B0B09" w:rsidP="004C445F">
            <w:pPr>
              <w:suppressAutoHyphens/>
              <w:rPr>
                <w:rFonts w:ascii="Times New Roman" w:hAnsi="Times New Roman"/>
                <w:b/>
                <w:bCs/>
                <w:sz w:val="24"/>
                <w:u w:val="single"/>
              </w:rPr>
            </w:pPr>
            <w:r>
              <w:rPr>
                <w:rFonts w:ascii="Times New Roman" w:hAnsi="Times New Roman"/>
                <w:sz w:val="24"/>
              </w:rPr>
              <w:t>Narzut kapitałowy w odniesieniu do wszelkich stosownych pozycji, zgodnie z częścią trzecią tytuł IV rozdział 2 rozporządzenia (UE) nr 575/2013.</w:t>
            </w:r>
          </w:p>
        </w:tc>
      </w:tr>
      <w:tr w:rsidR="000B0B09" w:rsidRPr="002D60D7" w14:paraId="56717AD1" w14:textId="77777777" w:rsidTr="00672D2A">
        <w:tc>
          <w:tcPr>
            <w:tcW w:w="988" w:type="dxa"/>
          </w:tcPr>
          <w:p w14:paraId="0D4A61CE"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ŁĄCZNA KWOTA EKSPOZYCJI NA RYZYKO</w:t>
            </w:r>
          </w:p>
          <w:p w14:paraId="2C4B0E54" w14:textId="5566DB68"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Art. 92 ust. 6 lit. b) rozporządzenia (UE) nr 575/2013. Wynik pomnożenia wymogów w zakresie funduszy własnych przez 12,5. </w:t>
            </w:r>
          </w:p>
        </w:tc>
      </w:tr>
    </w:tbl>
    <w:p w14:paraId="5A8176A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33B18629"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64300D2A" w14:textId="77777777" w:rsidTr="00672D2A">
        <w:trPr>
          <w:trHeight w:val="533"/>
        </w:trPr>
        <w:tc>
          <w:tcPr>
            <w:tcW w:w="8862" w:type="dxa"/>
            <w:gridSpan w:val="2"/>
            <w:shd w:val="clear" w:color="auto" w:fill="CCCCCC"/>
          </w:tcPr>
          <w:p w14:paraId="3C74B42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Wiersze</w:t>
            </w:r>
          </w:p>
        </w:tc>
      </w:tr>
      <w:tr w:rsidR="000B0B09" w:rsidRPr="002D60D7" w14:paraId="278DCECA" w14:textId="77777777" w:rsidTr="00672D2A">
        <w:trPr>
          <w:trHeight w:val="1168"/>
        </w:trPr>
        <w:tc>
          <w:tcPr>
            <w:tcW w:w="987" w:type="dxa"/>
          </w:tcPr>
          <w:p w14:paraId="2275EBA9"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RYNKOWE INSTRUMENTY DŁUŻNE W PORTFELU HANDLOWYM</w:t>
            </w:r>
          </w:p>
          <w:p w14:paraId="12C841B7" w14:textId="65FC0FB4" w:rsidR="000B0B09" w:rsidRPr="002D60D7" w:rsidRDefault="000B0B09" w:rsidP="004C445F">
            <w:pPr>
              <w:suppressAutoHyphens/>
              <w:rPr>
                <w:rFonts w:ascii="Times New Roman" w:hAnsi="Times New Roman"/>
                <w:sz w:val="24"/>
              </w:rPr>
            </w:pPr>
            <w:r>
              <w:rPr>
                <w:rFonts w:ascii="Times New Roman" w:hAnsi="Times New Roman"/>
                <w:sz w:val="24"/>
              </w:rPr>
              <w:t>Pozycje w rynkowych instrumentach dłużnych ujętych w portfelu handlowym oraz odpowiadające im wymogi w zakresie funduszy własnych w odniesieniu do ryzyka pozycji zgodnie z art. 92 ust. 4 lit. b) pkt (i) rozporządzenia (UE) nr 575/2013 i częścią trzecią tytuł IV rozdział 2 tego rozporządzenia należy zgłaszać w zależności od kategorii ryzyka, terminu zapadalności i zastosowanego podejścia.</w:t>
            </w:r>
          </w:p>
        </w:tc>
      </w:tr>
      <w:tr w:rsidR="000B0B09" w:rsidRPr="002D60D7" w14:paraId="2272E4A5" w14:textId="77777777" w:rsidTr="00672D2A">
        <w:tc>
          <w:tcPr>
            <w:tcW w:w="987" w:type="dxa"/>
          </w:tcPr>
          <w:p w14:paraId="0642F5E6"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 xml:space="preserve">RYZYKO OGÓLNE </w:t>
            </w:r>
          </w:p>
        </w:tc>
      </w:tr>
      <w:tr w:rsidR="000B0B09" w:rsidRPr="002D60D7" w14:paraId="55F30C33" w14:textId="77777777" w:rsidTr="00672D2A">
        <w:tc>
          <w:tcPr>
            <w:tcW w:w="987" w:type="dxa"/>
          </w:tcPr>
          <w:p w14:paraId="2CBA5F8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Instrumenty pochodne</w:t>
            </w:r>
          </w:p>
          <w:p w14:paraId="06C530F0" w14:textId="7A78F919" w:rsidR="000B0B09" w:rsidRPr="002D60D7" w:rsidRDefault="000B0B09" w:rsidP="004C445F">
            <w:pPr>
              <w:suppressAutoHyphens/>
              <w:rPr>
                <w:rFonts w:ascii="Times New Roman" w:hAnsi="Times New Roman"/>
                <w:b/>
                <w:bCs/>
                <w:sz w:val="24"/>
                <w:u w:val="single"/>
              </w:rPr>
            </w:pPr>
            <w:r>
              <w:rPr>
                <w:rFonts w:ascii="Times New Roman" w:hAnsi="Times New Roman"/>
                <w:sz w:val="24"/>
              </w:rPr>
              <w:lastRenderedPageBreak/>
              <w:t>Instrumenty pochodne brane pod uwagę przy obliczaniu ryzyka stopy procentowej dotyczącego pozycji w portfelu handlowym, uwzględniając, w stosownych przypadkach, art. 328–331 rozporządzenia (UE) nr 575/2013.</w:t>
            </w:r>
          </w:p>
        </w:tc>
      </w:tr>
      <w:tr w:rsidR="000B0B09" w:rsidRPr="002D60D7" w14:paraId="36851B46" w14:textId="77777777" w:rsidTr="00672D2A">
        <w:tc>
          <w:tcPr>
            <w:tcW w:w="987" w:type="dxa"/>
          </w:tcPr>
          <w:p w14:paraId="6827F66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0013</w:t>
            </w:r>
          </w:p>
        </w:tc>
        <w:tc>
          <w:tcPr>
            <w:tcW w:w="7875" w:type="dxa"/>
          </w:tcPr>
          <w:p w14:paraId="6024297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Inne aktywa i zobowiązania</w:t>
            </w:r>
          </w:p>
          <w:p w14:paraId="665719C9" w14:textId="77777777"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Instrumenty inne niż instrumenty pochodne brane pod uwagę przy obliczaniu ryzyka stopy procentowej dotyczącego pozycji w portfelu handlowym. </w:t>
            </w:r>
          </w:p>
        </w:tc>
      </w:tr>
      <w:tr w:rsidR="000B0B09" w:rsidRPr="002D60D7" w14:paraId="177EBA5C" w14:textId="77777777" w:rsidTr="00672D2A">
        <w:tc>
          <w:tcPr>
            <w:tcW w:w="987" w:type="dxa"/>
          </w:tcPr>
          <w:p w14:paraId="2B740B7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METODA TERMINÓW ZAPADALNOŚCI</w:t>
            </w:r>
          </w:p>
          <w:p w14:paraId="644A7531" w14:textId="671AD153" w:rsidR="000B0B09" w:rsidRPr="002D60D7" w:rsidRDefault="000B0B09" w:rsidP="004C445F">
            <w:pPr>
              <w:suppressAutoHyphens/>
              <w:rPr>
                <w:rFonts w:ascii="Times New Roman" w:hAnsi="Times New Roman"/>
                <w:b/>
                <w:bCs/>
                <w:sz w:val="24"/>
                <w:u w:val="single"/>
              </w:rPr>
            </w:pPr>
            <w:r>
              <w:rPr>
                <w:rFonts w:ascii="Times New Roman" w:hAnsi="Times New Roman"/>
                <w:sz w:val="24"/>
              </w:rPr>
              <w:t>Pozycje w rynkowych instrumentach dłużnych podlegające metodzie terminów zapadalności zgodnie z art. 339 ust. 1–8 rozporządzenia (UE) nr 575/2013 oraz odpowiadające wymogi w zakresie funduszy własnych obliczone zgodnie z art. 339 ust. 9 tego rozporządzenia. Pozycję dzieli się według stref 1, 2 i 3, po czym strefy te dzieli się według terminu zapadalności instrumentów.</w:t>
            </w:r>
          </w:p>
        </w:tc>
      </w:tr>
      <w:tr w:rsidR="000B0B09" w:rsidRPr="002D60D7" w14:paraId="79DAC997" w14:textId="77777777" w:rsidTr="00672D2A">
        <w:tc>
          <w:tcPr>
            <w:tcW w:w="987" w:type="dxa"/>
          </w:tcPr>
          <w:p w14:paraId="73C021E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RYZYKO OGÓLNE. PODEJŚCIE OPARTE NA DURACJI</w:t>
            </w:r>
          </w:p>
          <w:p w14:paraId="08171DB1" w14:textId="5B3E8AB1" w:rsidR="000B0B09" w:rsidRPr="002D60D7" w:rsidRDefault="000B0B09" w:rsidP="004C445F">
            <w:pPr>
              <w:suppressAutoHyphens/>
              <w:rPr>
                <w:rFonts w:ascii="Times New Roman" w:hAnsi="Times New Roman"/>
                <w:b/>
                <w:bCs/>
                <w:sz w:val="24"/>
                <w:u w:val="single"/>
              </w:rPr>
            </w:pPr>
            <w:r>
              <w:rPr>
                <w:rFonts w:ascii="Times New Roman" w:hAnsi="Times New Roman"/>
                <w:sz w:val="24"/>
              </w:rPr>
              <w:t>Pozycje w rynkowych instrumentach dłużnych podlegające podejściu opartemu na duracji zgodnie z art. 340 ust. 1–6 rozporządzenia (UE) nr 575/2013 oraz odpowiadające wymogi w zakresie funduszy własnych obliczone zgodnie z art. 340 ust. 7 tego rozporządzenia. Pozycję dzieli się według stref 1, 2 i 3.</w:t>
            </w:r>
          </w:p>
        </w:tc>
      </w:tr>
      <w:tr w:rsidR="000B0B09" w:rsidRPr="002D60D7" w14:paraId="7DD483EC" w14:textId="77777777" w:rsidTr="00672D2A">
        <w:tc>
          <w:tcPr>
            <w:tcW w:w="987" w:type="dxa"/>
          </w:tcPr>
          <w:p w14:paraId="5974B23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RYZYKO SZCZEGÓLNE</w:t>
            </w:r>
          </w:p>
          <w:p w14:paraId="29C6E3D0" w14:textId="77777777" w:rsidR="000B0B09" w:rsidRPr="002D60D7" w:rsidRDefault="000B0B09" w:rsidP="004C445F">
            <w:pPr>
              <w:suppressAutoHyphens/>
              <w:rPr>
                <w:rFonts w:ascii="Times New Roman" w:hAnsi="Times New Roman"/>
                <w:sz w:val="24"/>
              </w:rPr>
            </w:pPr>
            <w:r>
              <w:rPr>
                <w:rFonts w:ascii="Times New Roman" w:hAnsi="Times New Roman"/>
                <w:sz w:val="24"/>
              </w:rPr>
              <w:t xml:space="preserve">Suma kwot zgłoszonych w wierszach 0251, 0325 i 0330. </w:t>
            </w:r>
          </w:p>
          <w:p w14:paraId="4E1E5CA2" w14:textId="0C1E6FCB" w:rsidR="000B0B09" w:rsidRPr="002D60D7" w:rsidRDefault="000B0B09" w:rsidP="004C445F">
            <w:pPr>
              <w:suppressAutoHyphens/>
              <w:rPr>
                <w:rFonts w:ascii="Times New Roman" w:hAnsi="Times New Roman"/>
                <w:b/>
                <w:bCs/>
                <w:sz w:val="24"/>
                <w:u w:val="single"/>
              </w:rPr>
            </w:pPr>
            <w:r>
              <w:rPr>
                <w:rFonts w:ascii="Times New Roman" w:hAnsi="Times New Roman"/>
                <w:sz w:val="24"/>
              </w:rPr>
              <w:t>Pozycje w rynkowych instrumentach dłużnych podlegające szczególnemu ryzyku wymogów kapitałowych oraz odpowiadające im wymogi kapitałowe zgodnie z art. 92 ust. 3 lit. b), art. 335, art. 336 ust. 1, 2 i 3 oraz art. 337 i 338 rozporządzenia (UE) nr 575/2013. Należy również mieć na uwadze art. 327 ust. 1 zdanie ostatnie tego rozporządzenia.</w:t>
            </w:r>
          </w:p>
        </w:tc>
      </w:tr>
      <w:tr w:rsidR="000B0B09" w:rsidRPr="002D60D7" w14:paraId="6F8691E7" w14:textId="77777777" w:rsidTr="00672D2A">
        <w:tc>
          <w:tcPr>
            <w:tcW w:w="987" w:type="dxa"/>
          </w:tcPr>
          <w:p w14:paraId="5CD5E31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Wymóg w zakresie funduszy własnych w odniesieniu do instrumentów dłużnych niestanowiących pozycji sekurytyzacyjnych</w:t>
            </w:r>
          </w:p>
          <w:p w14:paraId="19437B35" w14:textId="77777777" w:rsidR="000B0B09" w:rsidRPr="002D60D7" w:rsidRDefault="000B0B09" w:rsidP="004C445F">
            <w:pPr>
              <w:suppressAutoHyphens/>
              <w:rPr>
                <w:rFonts w:ascii="Times New Roman" w:hAnsi="Times New Roman"/>
                <w:sz w:val="24"/>
              </w:rPr>
            </w:pPr>
            <w:r>
              <w:rPr>
                <w:rFonts w:ascii="Times New Roman" w:hAnsi="Times New Roman"/>
                <w:sz w:val="24"/>
              </w:rPr>
              <w:t>Suma kwot zgłoszonych w wierszach 260–321.</w:t>
            </w:r>
          </w:p>
          <w:p w14:paraId="4CDA5DEB" w14:textId="4AB00123" w:rsidR="000B0B09" w:rsidRPr="002D60D7" w:rsidRDefault="000B0B09" w:rsidP="004C445F">
            <w:pPr>
              <w:suppressAutoHyphens/>
              <w:rPr>
                <w:rFonts w:ascii="Times New Roman" w:hAnsi="Times New Roman"/>
                <w:sz w:val="24"/>
              </w:rPr>
            </w:pPr>
            <w:r>
              <w:rPr>
                <w:rFonts w:ascii="Times New Roman" w:hAnsi="Times New Roman"/>
                <w:sz w:val="24"/>
              </w:rPr>
              <w:t xml:space="preserve">Wymóg w zakresie funduszy własnych dotyczący kredytowych instrumentów pochodnych uruchamianych n-tym niewykonaniem zobowiązania, które nie posiadają zewnętrznej oceny ratingowej, oblicza się, sumując wagi ryzyka podmiotów referencyjnych (art. 332 ust. 1 lit. e) oraz art. 332 ust. 1 akapit drugi rozporządzenia (UE) nr 575/2013 – „pełny przegląd”). Kredytowe instrumenty pochodne uruchamiane n-tym niewykonaniem zobowiązania posiadające zewnętrzną ocenę ratingową (art. 332 ust. 1 akapit trzeci rozporządzenia (UE) nr 575/2013) zgłasza się oddzielnie w wierszu 321. </w:t>
            </w:r>
          </w:p>
          <w:p w14:paraId="7051ED04" w14:textId="439958FE" w:rsidR="000B0B09" w:rsidRPr="002D60D7" w:rsidRDefault="000B0B09" w:rsidP="004C445F">
            <w:pPr>
              <w:suppressAutoHyphens/>
              <w:rPr>
                <w:rFonts w:ascii="Times New Roman" w:hAnsi="Times New Roman"/>
                <w:sz w:val="24"/>
              </w:rPr>
            </w:pPr>
            <w:r>
              <w:rPr>
                <w:rFonts w:ascii="Times New Roman" w:hAnsi="Times New Roman"/>
                <w:sz w:val="24"/>
              </w:rPr>
              <w:t>Zgłaszanie pozycji podlegających przepisom art. 336 ust. 3 rozporządzenia (UE) nr 575/2013: Obligacje kwalifikujące się do wagi ryzyka równej 10 % w portfelu bankowym wymagają specjalnego ujęcia zgodnie z art. 129 ust. 3 tego rozporządzenia (obligacje zabezpieczone). Szczególne wymogi w zakresie funduszy własnych odpowiadają połowie odsetka drugiej kategorii w tabeli 1 w art. 336 rozporządzenia (UE) nr 575/2013. Pozycje te muszą być przypisane do wierszy 0280–0300 odpowiednio do okresu pozostałego do ostatecznego terminu zapadalności.</w:t>
            </w:r>
          </w:p>
          <w:p w14:paraId="11FE9AD5" w14:textId="6CF7D4D9" w:rsidR="000B0B09" w:rsidRPr="002D60D7" w:rsidRDefault="00F41508" w:rsidP="004C445F">
            <w:pPr>
              <w:suppressAutoHyphens/>
              <w:rPr>
                <w:rFonts w:ascii="Times New Roman" w:hAnsi="Times New Roman"/>
                <w:b/>
                <w:bCs/>
                <w:sz w:val="24"/>
                <w:u w:val="single"/>
              </w:rPr>
            </w:pPr>
            <w:r>
              <w:rPr>
                <w:rFonts w:ascii="Times New Roman" w:hAnsi="Times New Roman"/>
                <w:sz w:val="24"/>
              </w:rPr>
              <w:lastRenderedPageBreak/>
              <w:t xml:space="preserve">Jeżeli ryzyko ogólne pozycji ryzyka stopy procentowej jest zabezpieczone kredytowym instrumentem pochodnym, stosuje się art. 346 i 347 rozporządzenia (UE) nr 575/2013. </w:t>
            </w:r>
          </w:p>
        </w:tc>
      </w:tr>
      <w:tr w:rsidR="000B0B09" w:rsidRPr="002D60D7" w14:paraId="3F2475A8" w14:textId="77777777" w:rsidTr="00672D2A">
        <w:tc>
          <w:tcPr>
            <w:tcW w:w="987" w:type="dxa"/>
          </w:tcPr>
          <w:p w14:paraId="1898316C"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Wymóg w zakresie funduszy własnych w odniesieniu do instrumentów stanowiących pozycje sekurytyzacyjne</w:t>
            </w:r>
          </w:p>
          <w:p w14:paraId="7BA68AB7"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Łączne wymogi w zakresie funduszy własnych zgłoszone w kolumnie 0601 wzoru MKR SA SEC. Te łączne wymogi w zakresie funduszy własnych zgłasza się wyłącznie na poziomie pozycji „Razem” wzoru MKR SA TDI.</w:t>
            </w:r>
          </w:p>
        </w:tc>
      </w:tr>
      <w:tr w:rsidR="000B0B09" w:rsidRPr="002D60D7" w14:paraId="55688787" w14:textId="77777777" w:rsidTr="00672D2A">
        <w:tc>
          <w:tcPr>
            <w:tcW w:w="987" w:type="dxa"/>
          </w:tcPr>
          <w:p w14:paraId="74C28C83"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Wymóg w zakresie funduszy własnych dla korelacyjnego portfela handlowego</w:t>
            </w:r>
          </w:p>
          <w:p w14:paraId="104F8330"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Łączne wymogi w zakresie funduszy własnych zgłoszone w kolumnie 0450 wzoru MKR SA CTP. Te łączne wymogi w zakresie funduszy własnych zgłasza się wyłącznie na poziomie pozycji „Razem” wzoru MKR SA TDI.</w:t>
            </w:r>
          </w:p>
        </w:tc>
      </w:tr>
      <w:tr w:rsidR="000B0B09" w:rsidRPr="002D60D7" w14:paraId="230D0723" w14:textId="77777777" w:rsidTr="00672D2A">
        <w:tc>
          <w:tcPr>
            <w:tcW w:w="987" w:type="dxa"/>
          </w:tcPr>
          <w:p w14:paraId="26241DA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D60D7" w:rsidRDefault="000B0B09"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DODATKOWE WYMOGI W ZAKRESIE OPCJI (RYZYKA INNE NIŻ RYZYKO DELTA) </w:t>
            </w:r>
          </w:p>
          <w:p w14:paraId="3B19069A" w14:textId="2AE3D272" w:rsidR="000B0B09" w:rsidRPr="002D60D7" w:rsidRDefault="000B0B09" w:rsidP="004C445F">
            <w:pPr>
              <w:suppressAutoHyphens/>
              <w:rPr>
                <w:rFonts w:ascii="Times New Roman" w:hAnsi="Times New Roman"/>
                <w:sz w:val="24"/>
              </w:rPr>
            </w:pPr>
            <w:r>
              <w:rPr>
                <w:rFonts w:ascii="Times New Roman" w:hAnsi="Times New Roman"/>
                <w:sz w:val="24"/>
              </w:rPr>
              <w:t>Art. 329 ust. 3 rozporządzenia (UE) nr 575/2013.</w:t>
            </w:r>
          </w:p>
          <w:p w14:paraId="4A1F04EE" w14:textId="77777777" w:rsidR="000B0B09" w:rsidRPr="002D60D7" w:rsidRDefault="000B0B09" w:rsidP="004C445F">
            <w:pPr>
              <w:suppressAutoHyphens/>
              <w:rPr>
                <w:rFonts w:ascii="Times New Roman" w:hAnsi="Times New Roman"/>
                <w:bCs/>
                <w:sz w:val="24"/>
              </w:rPr>
            </w:pPr>
            <w:r>
              <w:rPr>
                <w:rFonts w:ascii="Times New Roman" w:hAnsi="Times New Roman"/>
                <w:sz w:val="24"/>
              </w:rPr>
              <w:t>Dodatkowe wymogi w zakresie opcji związane z ryzykami innymi niż ryzyko delta zgłasza się w podziale według metody stosowanej do ich obliczenia.</w:t>
            </w:r>
          </w:p>
        </w:tc>
      </w:tr>
    </w:tbl>
    <w:p w14:paraId="45D79A0A"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7B3D40AE" w14:textId="1AB0D7C7"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2" w:name="_Toc294172370"/>
      <w:bookmarkStart w:id="53" w:name="_Toc295829999"/>
      <w:bookmarkStart w:id="54" w:name="_Toc308426676"/>
      <w:bookmarkStart w:id="55" w:name="_Toc310415060"/>
      <w:bookmarkStart w:id="56" w:name="_Toc360188395"/>
      <w:bookmarkStart w:id="57" w:name="_Toc473561035"/>
      <w:bookmarkStart w:id="58" w:name="_Toc210908823"/>
      <w:r>
        <w:rPr>
          <w:rFonts w:ascii="Times New Roman" w:hAnsi="Times New Roman"/>
          <w:sz w:val="24"/>
          <w:u w:val="none"/>
        </w:rPr>
        <w:t>3.</w:t>
      </w:r>
      <w:r>
        <w:tab/>
      </w:r>
      <w:r>
        <w:rPr>
          <w:rFonts w:ascii="Times New Roman" w:hAnsi="Times New Roman"/>
          <w:sz w:val="24"/>
        </w:rPr>
        <w:t>C 19.00 – RYZYKO RYNKOWE: SZCZEGÓLNE RYZYKO Z TYTUŁU SEKURYTYZACJI WEDŁUG METODY STANDARDOWEJ (MKR SA SEC)</w:t>
      </w:r>
      <w:bookmarkEnd w:id="52"/>
      <w:bookmarkEnd w:id="53"/>
      <w:bookmarkEnd w:id="54"/>
      <w:bookmarkEnd w:id="55"/>
      <w:bookmarkEnd w:id="56"/>
      <w:bookmarkEnd w:id="57"/>
      <w:bookmarkEnd w:id="58"/>
    </w:p>
    <w:p w14:paraId="77E74540" w14:textId="159B56B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9" w:name="_Toc294172371"/>
      <w:bookmarkStart w:id="60" w:name="_Toc295830000"/>
      <w:bookmarkStart w:id="61" w:name="_Toc308426677"/>
      <w:bookmarkStart w:id="62" w:name="_Toc310415061"/>
      <w:bookmarkStart w:id="63" w:name="_Toc360188396"/>
      <w:bookmarkStart w:id="64" w:name="_Toc473561036"/>
      <w:bookmarkStart w:id="65" w:name="_Toc210908824"/>
      <w:r>
        <w:rPr>
          <w:rFonts w:ascii="Times New Roman" w:hAnsi="Times New Roman"/>
          <w:sz w:val="24"/>
          <w:u w:val="none"/>
        </w:rPr>
        <w:t>3.1.</w:t>
      </w:r>
      <w:r>
        <w:tab/>
      </w:r>
      <w:r>
        <w:rPr>
          <w:rFonts w:ascii="Times New Roman" w:hAnsi="Times New Roman"/>
          <w:sz w:val="24"/>
        </w:rPr>
        <w:t>Uwagi ogólne</w:t>
      </w:r>
      <w:bookmarkEnd w:id="59"/>
      <w:bookmarkEnd w:id="60"/>
      <w:bookmarkEnd w:id="61"/>
      <w:bookmarkEnd w:id="62"/>
      <w:bookmarkEnd w:id="63"/>
      <w:bookmarkEnd w:id="64"/>
      <w:bookmarkEnd w:id="65"/>
    </w:p>
    <w:p w14:paraId="7E5893C5" w14:textId="18DD7193" w:rsidR="00FC6275" w:rsidRPr="002D60D7" w:rsidRDefault="00FC6275" w:rsidP="00E172EA">
      <w:pPr>
        <w:pStyle w:val="InstructionsText2"/>
        <w:numPr>
          <w:ilvl w:val="0"/>
          <w:numId w:val="29"/>
        </w:numPr>
        <w:suppressAutoHyphens/>
      </w:pPr>
      <w:bookmarkStart w:id="66" w:name="_Toc294172372"/>
      <w:bookmarkStart w:id="67" w:name="_Toc295830001"/>
      <w:bookmarkStart w:id="68" w:name="_Toc308426678"/>
      <w:bookmarkStart w:id="69" w:name="_Toc310415062"/>
      <w:bookmarkStart w:id="70" w:name="_Toc360188397"/>
      <w:bookmarkStart w:id="71" w:name="_Toc473561037"/>
      <w:r>
        <w:t xml:space="preserve">W przedmiotowym wzorze należy przedstawić informacje o pozycjach (wszystkich/netto i długich/krótkich) i powiązanych wymogach w zakresie funduszy własnych odnoszących się do elementu ryzyka szczególnego w ramach ryzyka pozycji z tytułu sekurytyzacji/resekurytyzacji przechowywanych w portfelu handlowym (niekwalifikujących się do ujęcia w korelacyjnym portfelu handlowym) zgodnie z metodą standardową. </w:t>
      </w:r>
    </w:p>
    <w:p w14:paraId="2729DF95" w14:textId="1BA228E4" w:rsidR="00FC6275" w:rsidRPr="002D60D7" w:rsidRDefault="00FC6275" w:rsidP="00E172EA">
      <w:pPr>
        <w:pStyle w:val="InstructionsText2"/>
        <w:numPr>
          <w:ilvl w:val="0"/>
          <w:numId w:val="29"/>
        </w:numPr>
        <w:suppressAutoHyphens/>
      </w:pPr>
      <w:r>
        <w:t xml:space="preserve">We wzorze MKR SA SEC przedstawia się wymóg w zakresie funduszy własnych wyłącznie w odniesieniu do ryzyka szczególnego związanego z pozycjami sekurytyzacyjnymi, zgodnie z art. 335 rozporządzenia (UE) nr 575/2013 w związku z art. 337 tego rozporządzenia. Jeżeli pozycje sekurytyzacyjne w portfelu handlowym są zabezpieczone kredytowymi instrumentami pochodnymi, zastosowanie mają przepisy art. 346 i 347 rozporządzenia (UE) nr 575/2013. W odniesieniu do wszystkich pozycji w portfelu handlowym stosuje się ten sam wzór, niezależnie od metody stosowanej przez firmy inwestycyjne przy ustalaniu wagi ryzyka każdej pozycji zgodnie z częścią trzecią tytuł II rozdział 5 rozporządzenia (UE) nr 575/2013. Wymogi w zakresie funduszy własnych w odniesieniu do ryzyka ogólnego tych pozycji zgłasza się przy pomocy wzoru MKR SA TDI lub wzoru MKR IM. </w:t>
      </w:r>
    </w:p>
    <w:p w14:paraId="0C732A14" w14:textId="3FF74494" w:rsidR="00FC6275" w:rsidRPr="002D60D7" w:rsidRDefault="00FC6275" w:rsidP="00E172EA">
      <w:pPr>
        <w:pStyle w:val="InstructionsText2"/>
        <w:numPr>
          <w:ilvl w:val="0"/>
          <w:numId w:val="29"/>
        </w:numPr>
        <w:suppressAutoHyphens/>
      </w:pPr>
      <w:r>
        <w:t xml:space="preserve">Pozycje, którym przypisywana jest waga ryzyka 1 250 %, mogą alternatywnie zostać odliczone od kapitału podstawowego Tier I (zob. art. 244 ust. 1 lit. b), art. </w:t>
      </w:r>
      <w:r>
        <w:lastRenderedPageBreak/>
        <w:t>245 ust. 1 lit. b) oraz art. 253 rozporządzenia (UE) nr 575/2013). Pozycje te zgłasza się w tym wzorze, nawet jeżeli instytucja korzysta z możliwości odliczenia.</w:t>
      </w:r>
    </w:p>
    <w:p w14:paraId="3921F7AA" w14:textId="2BCB0F9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2" w:name="_Toc210908825"/>
      <w:r>
        <w:rPr>
          <w:rFonts w:ascii="Times New Roman" w:hAnsi="Times New Roman"/>
          <w:sz w:val="24"/>
          <w:u w:val="none"/>
        </w:rPr>
        <w:t>3.2.</w:t>
      </w:r>
      <w:r>
        <w:tab/>
      </w:r>
      <w:r>
        <w:rPr>
          <w:rFonts w:ascii="Times New Roman" w:hAnsi="Times New Roman"/>
          <w:sz w:val="24"/>
        </w:rPr>
        <w:t>Instrukcje dotyczące poszczególnych pozycji</w:t>
      </w:r>
      <w:bookmarkEnd w:id="66"/>
      <w:bookmarkEnd w:id="67"/>
      <w:bookmarkEnd w:id="68"/>
      <w:bookmarkEnd w:id="69"/>
      <w:bookmarkEnd w:id="70"/>
      <w:bookmarkEnd w:id="71"/>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D60D7" w14:paraId="5FAA1DCA" w14:textId="77777777" w:rsidTr="00E10B85">
        <w:trPr>
          <w:trHeight w:val="631"/>
        </w:trPr>
        <w:tc>
          <w:tcPr>
            <w:tcW w:w="9018" w:type="dxa"/>
            <w:gridSpan w:val="2"/>
            <w:shd w:val="clear" w:color="auto" w:fill="CCCCCC"/>
          </w:tcPr>
          <w:p w14:paraId="672709A6"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Kolumny</w:t>
            </w:r>
          </w:p>
        </w:tc>
      </w:tr>
      <w:tr w:rsidR="00C55547" w:rsidRPr="002D60D7" w14:paraId="25DD94D3" w14:textId="77777777" w:rsidTr="000911FE">
        <w:tc>
          <w:tcPr>
            <w:tcW w:w="1413" w:type="dxa"/>
          </w:tcPr>
          <w:p w14:paraId="1C45AB39"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WSZYSTKIE POZYCJE (DŁUGIE I KRÓTKIE)</w:t>
            </w:r>
          </w:p>
          <w:p w14:paraId="503F4241" w14:textId="0DAFF941" w:rsidR="00C55547" w:rsidRPr="002D60D7" w:rsidRDefault="00C55547" w:rsidP="004C445F">
            <w:pPr>
              <w:suppressAutoHyphens/>
              <w:rPr>
                <w:rFonts w:ascii="Times New Roman" w:hAnsi="Times New Roman"/>
                <w:sz w:val="24"/>
              </w:rPr>
            </w:pPr>
            <w:r>
              <w:rPr>
                <w:rFonts w:ascii="Times New Roman" w:hAnsi="Times New Roman"/>
                <w:sz w:val="24"/>
              </w:rPr>
              <w:t xml:space="preserve">Art. </w:t>
            </w:r>
            <w:r>
              <w:rPr>
                <w:rStyle w:val="InstructionsTabelleText"/>
                <w:rFonts w:ascii="Times New Roman" w:hAnsi="Times New Roman"/>
                <w:sz w:val="24"/>
              </w:rPr>
              <w:t>102 i art. 105 ust. 1</w:t>
            </w:r>
            <w:r>
              <w:rPr>
                <w:rFonts w:ascii="Times New Roman" w:hAnsi="Times New Roman"/>
                <w:sz w:val="24"/>
              </w:rPr>
              <w:t xml:space="preserve"> rozporządzenia (UE) nr 575/2013 </w:t>
            </w:r>
            <w:r>
              <w:rPr>
                <w:rStyle w:val="InstructionsTabelleText"/>
                <w:rFonts w:ascii="Times New Roman" w:hAnsi="Times New Roman"/>
                <w:sz w:val="24"/>
              </w:rPr>
              <w:t>w związku z art. 337</w:t>
            </w:r>
            <w:r>
              <w:rPr>
                <w:rFonts w:ascii="Times New Roman" w:hAnsi="Times New Roman"/>
                <w:sz w:val="24"/>
              </w:rPr>
              <w:t xml:space="preserve"> tego rozporządzenia </w:t>
            </w:r>
            <w:r>
              <w:rPr>
                <w:rStyle w:val="InstructionsTabelleText"/>
                <w:rFonts w:ascii="Times New Roman" w:hAnsi="Times New Roman"/>
                <w:sz w:val="24"/>
              </w:rPr>
              <w:t>(pozycje sekurytyzacyjne)</w:t>
            </w:r>
            <w:r>
              <w:rPr>
                <w:rFonts w:ascii="Times New Roman" w:hAnsi="Times New Roman"/>
                <w:sz w:val="24"/>
              </w:rPr>
              <w:t>.</w:t>
            </w:r>
            <w:r>
              <w:rPr>
                <w:rStyle w:val="InstructionsTabelleText"/>
                <w:rFonts w:ascii="Times New Roman" w:hAnsi="Times New Roman"/>
                <w:sz w:val="24"/>
              </w:rPr>
              <w:t xml:space="preserve"> W kwestii rozróżnienia pomiędzy pozycjami długimi i krótkimi, stosowanego również w odniesieniu do pozycji brutto, zob. art. 328 ust. 2</w:t>
            </w:r>
            <w:r>
              <w:rPr>
                <w:rFonts w:ascii="Times New Roman" w:hAnsi="Times New Roman"/>
                <w:sz w:val="24"/>
              </w:rPr>
              <w:t xml:space="preserve"> tego rozporządzenia</w:t>
            </w:r>
            <w:r>
              <w:rPr>
                <w:rStyle w:val="InstructionsTabelleText"/>
                <w:rFonts w:ascii="Times New Roman" w:hAnsi="Times New Roman"/>
                <w:sz w:val="24"/>
              </w:rPr>
              <w:t xml:space="preserve">. </w:t>
            </w:r>
          </w:p>
        </w:tc>
      </w:tr>
      <w:tr w:rsidR="00C55547" w:rsidRPr="002D60D7" w14:paraId="22839602" w14:textId="77777777" w:rsidTr="000911FE">
        <w:tc>
          <w:tcPr>
            <w:tcW w:w="1413" w:type="dxa"/>
          </w:tcPr>
          <w:p w14:paraId="40A33AF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POZYCJE ODLICZONE OD FUNDUSZY WŁASNYCH</w:t>
            </w:r>
            <w:r>
              <w:rPr>
                <w:rFonts w:ascii="Times New Roman" w:hAnsi="Times New Roman"/>
                <w:b/>
                <w:sz w:val="24"/>
                <w:u w:val="single"/>
              </w:rPr>
              <w:t xml:space="preserve"> (DŁUGIE I KRÓTKIE)</w:t>
            </w:r>
          </w:p>
          <w:p w14:paraId="1429CBFE" w14:textId="1A440B37" w:rsidR="00C55547" w:rsidRPr="002D60D7" w:rsidRDefault="00705025" w:rsidP="004C445F">
            <w:pPr>
              <w:suppressAutoHyphens/>
              <w:rPr>
                <w:rStyle w:val="InstructionsTabelleText"/>
                <w:rFonts w:ascii="Times New Roman" w:hAnsi="Times New Roman"/>
                <w:sz w:val="24"/>
              </w:rPr>
            </w:pPr>
            <w:r>
              <w:rPr>
                <w:rStyle w:val="InstructionsTabelleText"/>
                <w:rFonts w:ascii="Times New Roman" w:hAnsi="Times New Roman"/>
                <w:sz w:val="24"/>
              </w:rPr>
              <w:t xml:space="preserve"> Art. 244 ust. 1 lit. b), art. 245 ust. 1 lit. b) i art. 253</w:t>
            </w:r>
            <w:r>
              <w:rPr>
                <w:rFonts w:ascii="Times New Roman" w:hAnsi="Times New Roman"/>
                <w:sz w:val="24"/>
              </w:rPr>
              <w:t xml:space="preserve"> rozporządzenia (UE) nr 575/2013.</w:t>
            </w:r>
          </w:p>
        </w:tc>
      </w:tr>
      <w:tr w:rsidR="00C55547" w:rsidRPr="002D60D7" w14:paraId="16C58348" w14:textId="77777777" w:rsidTr="000911FE">
        <w:tc>
          <w:tcPr>
            <w:tcW w:w="1413" w:type="dxa"/>
          </w:tcPr>
          <w:p w14:paraId="2D1E9030"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POZYCJE NETTO</w:t>
            </w:r>
            <w:r>
              <w:rPr>
                <w:rFonts w:ascii="Times New Roman" w:hAnsi="Times New Roman"/>
                <w:b/>
                <w:sz w:val="24"/>
                <w:u w:val="single"/>
              </w:rPr>
              <w:t xml:space="preserve"> (DŁUGIE I KRÓTKIE)</w:t>
            </w:r>
          </w:p>
          <w:p w14:paraId="54C14D76" w14:textId="32F9EC29" w:rsidR="00C55547" w:rsidRPr="002D60D7" w:rsidRDefault="00C55547" w:rsidP="004C445F">
            <w:pPr>
              <w:suppressAutoHyphens/>
              <w:rPr>
                <w:rStyle w:val="InstructionsTabelleText"/>
                <w:rFonts w:ascii="Times New Roman" w:hAnsi="Times New Roman"/>
                <w:sz w:val="24"/>
              </w:rPr>
            </w:pPr>
            <w:r>
              <w:rPr>
                <w:rFonts w:ascii="Times New Roman" w:hAnsi="Times New Roman"/>
                <w:sz w:val="24"/>
              </w:rPr>
              <w:t xml:space="preserve">Art. </w:t>
            </w:r>
            <w:r>
              <w:rPr>
                <w:rStyle w:val="InstructionsTabelleText"/>
                <w:rFonts w:ascii="Times New Roman" w:hAnsi="Times New Roman"/>
                <w:sz w:val="24"/>
              </w:rPr>
              <w:t>327, 328, 329 i 334</w:t>
            </w:r>
            <w:r>
              <w:rPr>
                <w:rFonts w:ascii="Times New Roman" w:hAnsi="Times New Roman"/>
                <w:sz w:val="24"/>
              </w:rPr>
              <w:t xml:space="preserve"> rozporządzenia (UE) nr 575/2013</w:t>
            </w:r>
            <w:r>
              <w:rPr>
                <w:rStyle w:val="InstructionsTabelleText"/>
                <w:rFonts w:ascii="Times New Roman" w:hAnsi="Times New Roman"/>
                <w:sz w:val="24"/>
              </w:rPr>
              <w:t>. W kwestii rozróżnienia pomiędzy pozycjami długimi i krótkimi zob. art. 328 ust. 2</w:t>
            </w:r>
            <w:r>
              <w:rPr>
                <w:rFonts w:ascii="Times New Roman" w:hAnsi="Times New Roman"/>
                <w:sz w:val="24"/>
              </w:rPr>
              <w:t xml:space="preserve"> tego rozporządzenia</w:t>
            </w:r>
            <w:r>
              <w:rPr>
                <w:rStyle w:val="InstructionsTabelleText"/>
                <w:rFonts w:ascii="Times New Roman" w:hAnsi="Times New Roman"/>
                <w:sz w:val="24"/>
              </w:rPr>
              <w:t>.</w:t>
            </w:r>
          </w:p>
        </w:tc>
      </w:tr>
      <w:tr w:rsidR="00C55547" w:rsidRPr="002D60D7" w14:paraId="0BDF729C" w14:textId="77777777" w:rsidTr="000911FE">
        <w:tc>
          <w:tcPr>
            <w:tcW w:w="1413" w:type="dxa"/>
          </w:tcPr>
          <w:p w14:paraId="324A2BB6"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PODZIAŁ POZYCJI NETTO WEDŁUG WAG RYZYKA</w:t>
            </w:r>
          </w:p>
          <w:p w14:paraId="3ECFC065" w14:textId="41D71775" w:rsidR="00C3548F"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Art.259–262, tabele 1 i 2 w art. 263, tabele 3 i 4 w art. 264 oraz art. 266</w:t>
            </w:r>
            <w:r>
              <w:rPr>
                <w:rFonts w:ascii="Times New Roman" w:hAnsi="Times New Roman"/>
                <w:sz w:val="24"/>
              </w:rPr>
              <w:t xml:space="preserve"> rozporządzenia (UE) nr 575/2013</w:t>
            </w:r>
            <w:r>
              <w:rPr>
                <w:rStyle w:val="InstructionsTabelleText"/>
                <w:rFonts w:ascii="Times New Roman" w:hAnsi="Times New Roman"/>
                <w:sz w:val="24"/>
              </w:rPr>
              <w:t xml:space="preserve">. </w:t>
            </w:r>
          </w:p>
          <w:p w14:paraId="4314B137" w14:textId="77777777" w:rsidR="00C55547"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Podział przeprowadza się osobno dla pozycji długich i krótkich.</w:t>
            </w:r>
          </w:p>
        </w:tc>
      </w:tr>
      <w:tr w:rsidR="00C55547" w:rsidRPr="002D60D7" w14:paraId="2A20E80A" w14:textId="77777777" w:rsidTr="000911FE">
        <w:tc>
          <w:tcPr>
            <w:tcW w:w="1413" w:type="dxa"/>
          </w:tcPr>
          <w:p w14:paraId="163C862B"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PODZIAŁ POZYCJI NETTO WEDŁUG METOD</w:t>
            </w:r>
          </w:p>
          <w:p w14:paraId="683DE902" w14:textId="55DF04AD" w:rsidR="00C55547" w:rsidRPr="002D60D7" w:rsidRDefault="00C55547" w:rsidP="004C445F">
            <w:pPr>
              <w:suppressAutoHyphens/>
              <w:rPr>
                <w:rFonts w:ascii="Times New Roman" w:hAnsi="Times New Roman"/>
                <w:b/>
                <w:bCs/>
                <w:sz w:val="24"/>
                <w:u w:val="single"/>
              </w:rPr>
            </w:pPr>
            <w:r>
              <w:rPr>
                <w:rFonts w:ascii="Times New Roman" w:hAnsi="Times New Roman"/>
                <w:sz w:val="24"/>
              </w:rPr>
              <w:t xml:space="preserve">Art. </w:t>
            </w:r>
            <w:r>
              <w:rPr>
                <w:rStyle w:val="InstructionsTabelleText"/>
                <w:rFonts w:ascii="Times New Roman" w:hAnsi="Times New Roman"/>
                <w:sz w:val="24"/>
              </w:rPr>
              <w:t>254</w:t>
            </w:r>
            <w:r>
              <w:rPr>
                <w:rFonts w:ascii="Times New Roman" w:hAnsi="Times New Roman"/>
                <w:sz w:val="24"/>
              </w:rPr>
              <w:t xml:space="preserve"> rozporządzenia (UE) nr 575/2013.</w:t>
            </w:r>
            <w:r>
              <w:rPr>
                <w:rStyle w:val="InstructionsTabelleText"/>
                <w:rFonts w:ascii="Times New Roman" w:hAnsi="Times New Roman"/>
                <w:sz w:val="24"/>
              </w:rPr>
              <w:t xml:space="preserve"> </w:t>
            </w:r>
          </w:p>
        </w:tc>
      </w:tr>
      <w:tr w:rsidR="00C55547" w:rsidRPr="002D60D7" w14:paraId="6061874B" w14:textId="77777777" w:rsidTr="000911FE">
        <w:tc>
          <w:tcPr>
            <w:tcW w:w="1413" w:type="dxa"/>
          </w:tcPr>
          <w:p w14:paraId="4B729A34"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Art. 259 i 260</w:t>
            </w:r>
            <w:r>
              <w:rPr>
                <w:rFonts w:ascii="Times New Roman" w:hAnsi="Times New Roman"/>
                <w:sz w:val="24"/>
              </w:rPr>
              <w:t xml:space="preserve"> rozporządzenia (UE) nr 575/2013.</w:t>
            </w:r>
          </w:p>
        </w:tc>
      </w:tr>
      <w:tr w:rsidR="00C55547" w:rsidRPr="002D60D7" w14:paraId="16BB3DCB" w14:textId="77777777" w:rsidTr="000911FE">
        <w:tc>
          <w:tcPr>
            <w:tcW w:w="1413" w:type="dxa"/>
          </w:tcPr>
          <w:p w14:paraId="189036B1"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D60D7" w:rsidRDefault="00C55547" w:rsidP="004C445F">
            <w:pPr>
              <w:suppressAutoHyphens/>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Art. 261 i 262</w:t>
            </w:r>
            <w:r>
              <w:rPr>
                <w:rFonts w:ascii="Times New Roman" w:hAnsi="Times New Roman"/>
                <w:sz w:val="24"/>
              </w:rPr>
              <w:t xml:space="preserve"> rozporządzenia (UE) nr 575/2013.</w:t>
            </w:r>
          </w:p>
        </w:tc>
      </w:tr>
      <w:tr w:rsidR="00C55547" w:rsidRPr="002D60D7" w14:paraId="0B1E8511" w14:textId="77777777" w:rsidTr="000911FE">
        <w:tc>
          <w:tcPr>
            <w:tcW w:w="1413" w:type="dxa"/>
          </w:tcPr>
          <w:p w14:paraId="283E5722"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Art. 263 i 264</w:t>
            </w:r>
            <w:r>
              <w:rPr>
                <w:rFonts w:ascii="Times New Roman" w:hAnsi="Times New Roman"/>
                <w:sz w:val="24"/>
              </w:rPr>
              <w:t xml:space="preserve"> rozporządzenia (UE) nr 575/2013.</w:t>
            </w:r>
          </w:p>
        </w:tc>
      </w:tr>
      <w:tr w:rsidR="00C55547" w:rsidRPr="002D60D7" w14:paraId="76051CC7" w14:textId="77777777" w:rsidTr="000911FE">
        <w:tc>
          <w:tcPr>
            <w:tcW w:w="1413" w:type="dxa"/>
          </w:tcPr>
          <w:p w14:paraId="2CE39EA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METODA WEWNĘTRZNYCH OSZACOWAŃ</w:t>
            </w:r>
          </w:p>
          <w:p w14:paraId="5354C48C" w14:textId="38E5A78D" w:rsidR="00C55547" w:rsidRPr="002D60D7" w:rsidRDefault="00C55547" w:rsidP="004C445F">
            <w:pPr>
              <w:suppressAutoHyphens/>
              <w:rPr>
                <w:rFonts w:ascii="Times New Roman" w:hAnsi="Times New Roman"/>
                <w:bCs/>
                <w:sz w:val="24"/>
                <w:u w:val="single"/>
              </w:rPr>
            </w:pPr>
            <w:r>
              <w:rPr>
                <w:rStyle w:val="InstructionsTabelleText"/>
                <w:rFonts w:ascii="Times New Roman" w:hAnsi="Times New Roman"/>
                <w:sz w:val="24"/>
              </w:rPr>
              <w:t>Art. 254 i 265 oraz art. 266 ust. 5</w:t>
            </w:r>
            <w:r>
              <w:rPr>
                <w:rFonts w:ascii="Times New Roman" w:hAnsi="Times New Roman"/>
                <w:sz w:val="24"/>
              </w:rPr>
              <w:t xml:space="preserve"> rozporządzenia (UE) nr 575/2013</w:t>
            </w:r>
            <w:r>
              <w:rPr>
                <w:rStyle w:val="InstructionsTabelleText"/>
                <w:rFonts w:ascii="Times New Roman" w:hAnsi="Times New Roman"/>
                <w:sz w:val="24"/>
              </w:rPr>
              <w:t>.</w:t>
            </w:r>
          </w:p>
        </w:tc>
      </w:tr>
      <w:tr w:rsidR="0033476C" w:rsidRPr="002D60D7" w14:paraId="00803C23" w14:textId="77777777" w:rsidTr="000911FE">
        <w:tc>
          <w:tcPr>
            <w:tcW w:w="1413" w:type="dxa"/>
          </w:tcPr>
          <w:p w14:paraId="6969B7D6" w14:textId="7D0DF91C" w:rsidR="0033476C" w:rsidRPr="002D60D7" w:rsidRDefault="0033476C"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D60D7" w:rsidRDefault="0033476C" w:rsidP="004C445F">
            <w:pPr>
              <w:suppressAutoHyphens/>
              <w:spacing w:before="0" w:after="0"/>
              <w:jc w:val="left"/>
              <w:rPr>
                <w:rFonts w:ascii="Times New Roman" w:hAnsi="Times New Roman"/>
                <w:b/>
                <w:sz w:val="24"/>
                <w:u w:val="single"/>
              </w:rPr>
            </w:pPr>
            <w:r>
              <w:rPr>
                <w:rFonts w:ascii="Times New Roman" w:hAnsi="Times New Roman"/>
                <w:b/>
                <w:sz w:val="24"/>
                <w:u w:val="single"/>
              </w:rPr>
              <w:t>SZCZEGÓLNE TRAKTOWANIE TRANSZ UPRZYWILEJOWANYCH KWALIFIKUJĄCYCH SIĘ SEKURYTYZACJI EKSPOZYCJI NIEOBSŁUGIWANYCH</w:t>
            </w:r>
          </w:p>
          <w:p w14:paraId="17BE744C" w14:textId="40B8EA94" w:rsidR="0033476C" w:rsidRPr="002D60D7" w:rsidRDefault="0033476C" w:rsidP="004C445F">
            <w:pPr>
              <w:suppressAutoHyphens/>
              <w:rPr>
                <w:rFonts w:ascii="Times New Roman" w:hAnsi="Times New Roman"/>
                <w:b/>
                <w:bCs/>
                <w:sz w:val="24"/>
                <w:u w:val="single"/>
              </w:rPr>
            </w:pPr>
            <w:r>
              <w:rPr>
                <w:rFonts w:ascii="Times New Roman" w:hAnsi="Times New Roman"/>
                <w:sz w:val="24"/>
              </w:rPr>
              <w:t>Art. 269a ust. 3 rozporządzenia (UE) nr 575/2013.</w:t>
            </w:r>
          </w:p>
        </w:tc>
      </w:tr>
      <w:tr w:rsidR="00C55547" w:rsidRPr="002D60D7" w14:paraId="05BEB883" w14:textId="77777777" w:rsidTr="000911FE">
        <w:tc>
          <w:tcPr>
            <w:tcW w:w="1413" w:type="dxa"/>
          </w:tcPr>
          <w:p w14:paraId="3D2DEA0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INNE (WAGA RYZYKA = 1 250 %)</w:t>
            </w:r>
          </w:p>
          <w:p w14:paraId="1684F52F" w14:textId="43F3FE5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lastRenderedPageBreak/>
              <w:t>Art. 254 ust. 7</w:t>
            </w:r>
            <w:r>
              <w:rPr>
                <w:rFonts w:ascii="Times New Roman" w:hAnsi="Times New Roman"/>
                <w:sz w:val="24"/>
              </w:rPr>
              <w:t xml:space="preserve"> rozporządzenia (UE) nr 575/2013.</w:t>
            </w:r>
          </w:p>
        </w:tc>
      </w:tr>
      <w:tr w:rsidR="00C55547" w:rsidRPr="002D60D7" w14:paraId="11316298" w14:textId="77777777" w:rsidTr="000911FE">
        <w:tc>
          <w:tcPr>
            <w:tcW w:w="1413" w:type="dxa"/>
          </w:tcPr>
          <w:p w14:paraId="00B9220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0530–0540</w:t>
            </w:r>
          </w:p>
        </w:tc>
        <w:tc>
          <w:tcPr>
            <w:tcW w:w="7605" w:type="dxa"/>
          </w:tcPr>
          <w:p w14:paraId="595C29DB"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OGÓLNY SKUTEK (KOREKTA) WYNIKAJĄCY Z NARUSZENIA PRZEPISÓW ROZDZIAŁU 2 ROZPORZĄDZENIA (UE) 2017/2402</w:t>
            </w:r>
          </w:p>
          <w:p w14:paraId="3FBEAE4C" w14:textId="027236B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Art. 270a</w:t>
            </w:r>
            <w:r>
              <w:rPr>
                <w:rFonts w:ascii="Times New Roman" w:hAnsi="Times New Roman"/>
                <w:sz w:val="24"/>
              </w:rPr>
              <w:t xml:space="preserve"> rozporządzenia (UE) nr 575/2013.</w:t>
            </w:r>
          </w:p>
        </w:tc>
      </w:tr>
      <w:tr w:rsidR="00C55547" w:rsidRPr="002D60D7" w14:paraId="2BA98A90" w14:textId="77777777" w:rsidTr="000911FE">
        <w:tc>
          <w:tcPr>
            <w:tcW w:w="1413" w:type="dxa"/>
          </w:tcPr>
          <w:p w14:paraId="2EA0118D"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PRZED UWZGLĘDNIENIEM PUŁAPU </w:t>
            </w:r>
          </w:p>
          <w:p w14:paraId="740CD739" w14:textId="54EB1279" w:rsidR="00C55547" w:rsidRPr="002D60D7" w:rsidRDefault="00C55547" w:rsidP="004C445F">
            <w:pPr>
              <w:suppressAutoHyphens/>
              <w:rPr>
                <w:rFonts w:ascii="Times New Roman" w:hAnsi="Times New Roman"/>
                <w:bCs/>
                <w:sz w:val="24"/>
              </w:rPr>
            </w:pPr>
            <w:r>
              <w:rPr>
                <w:rFonts w:ascii="Times New Roman" w:hAnsi="Times New Roman"/>
                <w:sz w:val="24"/>
              </w:rPr>
              <w:t>Art. 337 rozporządzenia (UE) nr 575/2013, nie uwzględniając swobody uznania przewidzianej w art. 335 tego rozporządzenia, na mocy którego instytucja może ograniczyć iloczyn wagi i pozycji netto do najwyższej potencjalnej straty powiązanej z ryzykiem niewykonania zobowiązań.</w:t>
            </w:r>
          </w:p>
        </w:tc>
      </w:tr>
      <w:tr w:rsidR="00C55547" w:rsidRPr="002D60D7" w14:paraId="247B0FB8" w14:textId="77777777" w:rsidTr="000911FE">
        <w:tc>
          <w:tcPr>
            <w:tcW w:w="1413" w:type="dxa"/>
          </w:tcPr>
          <w:p w14:paraId="22357CAC"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PO UWZGLĘDNIENIU PUŁAPU/ŁĄCZNE WYMOGI W ZAKRESIE FUNDUSZY WŁASNYCH </w:t>
            </w:r>
          </w:p>
          <w:p w14:paraId="0DE4FAED" w14:textId="59308D5D" w:rsidR="00C55547" w:rsidRPr="002D60D7" w:rsidRDefault="00C55547" w:rsidP="004C445F">
            <w:pPr>
              <w:suppressAutoHyphens/>
              <w:rPr>
                <w:rFonts w:ascii="Times New Roman" w:hAnsi="Times New Roman"/>
                <w:bCs/>
                <w:sz w:val="24"/>
              </w:rPr>
            </w:pPr>
            <w:r>
              <w:rPr>
                <w:rFonts w:ascii="Times New Roman" w:hAnsi="Times New Roman"/>
                <w:sz w:val="24"/>
              </w:rPr>
              <w:t>Art. 337 rozporządzenia (UE) nr 575/2013, uwzględniając swobodę uznania przewidzianą w art. 335 tego rozporządzenia.</w:t>
            </w:r>
          </w:p>
        </w:tc>
      </w:tr>
    </w:tbl>
    <w:p w14:paraId="2016D379"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D60D7" w14:paraId="02A9F41A" w14:textId="77777777" w:rsidTr="00E10B85">
        <w:trPr>
          <w:trHeight w:val="537"/>
        </w:trPr>
        <w:tc>
          <w:tcPr>
            <w:tcW w:w="8950" w:type="dxa"/>
            <w:gridSpan w:val="2"/>
            <w:shd w:val="clear" w:color="auto" w:fill="BFBFBF"/>
          </w:tcPr>
          <w:p w14:paraId="26BB8354"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Wiersze</w:t>
            </w:r>
          </w:p>
        </w:tc>
      </w:tr>
      <w:tr w:rsidR="00C55547" w:rsidRPr="002D60D7" w14:paraId="32F42F75" w14:textId="77777777" w:rsidTr="000911FE">
        <w:tc>
          <w:tcPr>
            <w:tcW w:w="1413" w:type="dxa"/>
          </w:tcPr>
          <w:p w14:paraId="4D0640F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D60D7" w:rsidRDefault="00C55547" w:rsidP="004C445F">
            <w:pPr>
              <w:suppressAutoHyphens/>
              <w:rPr>
                <w:rFonts w:ascii="Times New Roman" w:hAnsi="Times New Roman"/>
                <w:sz w:val="24"/>
              </w:rPr>
            </w:pPr>
            <w:r>
              <w:rPr>
                <w:rStyle w:val="InstructionsTabelleberschrift"/>
                <w:rFonts w:ascii="Times New Roman" w:hAnsi="Times New Roman"/>
                <w:sz w:val="24"/>
              </w:rPr>
              <w:t>EKSPOZYCJE CAŁKOWITE</w:t>
            </w:r>
          </w:p>
          <w:p w14:paraId="3DA30B45" w14:textId="36AC07B8" w:rsidR="00C55547" w:rsidRPr="002D60D7" w:rsidRDefault="00C55547" w:rsidP="004C445F">
            <w:pPr>
              <w:suppressAutoHyphens/>
              <w:autoSpaceDE w:val="0"/>
              <w:autoSpaceDN w:val="0"/>
              <w:adjustRightInd w:val="0"/>
              <w:spacing w:before="0" w:after="0"/>
              <w:rPr>
                <w:rFonts w:ascii="Times New Roman" w:hAnsi="Times New Roman"/>
                <w:sz w:val="24"/>
              </w:rPr>
            </w:pPr>
            <w:r>
              <w:rPr>
                <w:rStyle w:val="InstructionsTabelleText"/>
                <w:rFonts w:ascii="Times New Roman" w:hAnsi="Times New Roman"/>
                <w:sz w:val="24"/>
              </w:rPr>
              <w:t>Całkowita kwota pozostających sekurytyzacji i resekurytyzacji (przechowywanych w portfelu handlowym) zgłoszonych przez instytucję pełniącą rolę jednostki inicjującej, inwestora lub jednostki sponsorującej.</w:t>
            </w:r>
          </w:p>
        </w:tc>
      </w:tr>
      <w:tr w:rsidR="00C55547" w:rsidRPr="002D60D7" w14:paraId="21E51D59" w14:textId="77777777" w:rsidTr="000911FE">
        <w:tc>
          <w:tcPr>
            <w:tcW w:w="1413" w:type="dxa"/>
          </w:tcPr>
          <w:p w14:paraId="5CCD69B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i 0100</w:t>
            </w:r>
          </w:p>
        </w:tc>
        <w:tc>
          <w:tcPr>
            <w:tcW w:w="7537" w:type="dxa"/>
          </w:tcPr>
          <w:p w14:paraId="4F5DF6A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POZYCJE SEKURYTYZACYJNE</w:t>
            </w:r>
          </w:p>
          <w:p w14:paraId="62CD89EA" w14:textId="30BF22B1" w:rsidR="00C55547" w:rsidRPr="002D60D7" w:rsidRDefault="0053202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 Art. 4 ust. 1 pkt 62 rozporządzenia (UE) nr 575/2013.</w:t>
            </w:r>
          </w:p>
          <w:p w14:paraId="0230B6E5"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4D9AAB18" w14:textId="77777777" w:rsidTr="000911FE">
        <w:tc>
          <w:tcPr>
            <w:tcW w:w="1413" w:type="dxa"/>
          </w:tcPr>
          <w:p w14:paraId="6DA3B4F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 0050, 0080 i 0110</w:t>
            </w:r>
          </w:p>
        </w:tc>
        <w:tc>
          <w:tcPr>
            <w:tcW w:w="7537" w:type="dxa"/>
          </w:tcPr>
          <w:p w14:paraId="3C62BCE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POZYCJE RESEKURYTYZACYJNE</w:t>
            </w:r>
          </w:p>
          <w:p w14:paraId="32F5BAEB" w14:textId="2FA2B3C6"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 4 ust. 1 pkt 64 rozporządzenia (UE) nr 575/2013.</w:t>
            </w:r>
          </w:p>
          <w:p w14:paraId="18108A69"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51A33F7" w14:textId="77777777" w:rsidTr="000911FE">
        <w:tc>
          <w:tcPr>
            <w:tcW w:w="1413" w:type="dxa"/>
          </w:tcPr>
          <w:p w14:paraId="41A2A67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0041, 0071 i 0101</w:t>
            </w:r>
          </w:p>
        </w:tc>
        <w:tc>
          <w:tcPr>
            <w:tcW w:w="7537" w:type="dxa"/>
          </w:tcPr>
          <w:p w14:paraId="17D8E88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W TYM: KWALIFIKUJĄCE SIĘ DO ZRÓŻNICOWANEGO TRAKTOWANIA KAPITAŁU</w:t>
            </w:r>
          </w:p>
          <w:p w14:paraId="775DD0A5" w14:textId="5E8A13EA" w:rsidR="00C55547" w:rsidRPr="002D60D7" w:rsidRDefault="00C55547" w:rsidP="004C445F">
            <w:pPr>
              <w:suppressAutoHyphens/>
              <w:rPr>
                <w:rStyle w:val="InstructionsTabelleberschrift"/>
                <w:rFonts w:ascii="Times New Roman" w:hAnsi="Times New Roman"/>
                <w:sz w:val="24"/>
              </w:rPr>
            </w:pPr>
            <w:r>
              <w:rPr>
                <w:rFonts w:ascii="Times New Roman" w:hAnsi="Times New Roman"/>
                <w:sz w:val="24"/>
              </w:rPr>
              <w:t xml:space="preserve">Całkowita kwota pozycji sekurytyzacyjnych, które spełniają kryteria określone w art. 243 lub art. 270 rozporządzenia (UE) nr 575/2013, a w związku z tym kwalifikują się do zróżnicowanego traktowania kapitału. </w:t>
            </w:r>
          </w:p>
        </w:tc>
      </w:tr>
      <w:tr w:rsidR="00C55547" w:rsidRPr="002D60D7" w14:paraId="5FAF4052" w14:textId="77777777" w:rsidTr="000911FE">
        <w:tc>
          <w:tcPr>
            <w:tcW w:w="1413" w:type="dxa"/>
          </w:tcPr>
          <w:p w14:paraId="39486578"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JEDNOSTKA INICJUJĄCA</w:t>
            </w:r>
          </w:p>
          <w:p w14:paraId="50264432" w14:textId="0FD773BF"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 4 ust. 1 pkt 13 rozporządzenia (UE) nr 575/2013.</w:t>
            </w:r>
          </w:p>
          <w:p w14:paraId="671304E2"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1241B5AC" w14:textId="77777777" w:rsidTr="000911FE">
        <w:tc>
          <w:tcPr>
            <w:tcW w:w="1413" w:type="dxa"/>
          </w:tcPr>
          <w:p w14:paraId="61436B0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INWESTOR</w:t>
            </w:r>
          </w:p>
          <w:p w14:paraId="13A59676" w14:textId="722AE4F3" w:rsidR="00C55547" w:rsidRPr="002D60D7" w:rsidRDefault="00C55547"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Instytucja kredytowa będąca posiadaczem pozycji sekurytyzacyjnych w ramach transakcji sekurytyzacyjnych, w odniesieniu do których nie pełni roli jednostki inicjującej, jednostki sponsorującej ani pierwotnego kredytodawcy. </w:t>
            </w:r>
          </w:p>
          <w:p w14:paraId="5289F9D1"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6D8A55A" w14:textId="77777777" w:rsidTr="000911FE">
        <w:tc>
          <w:tcPr>
            <w:tcW w:w="1413" w:type="dxa"/>
          </w:tcPr>
          <w:p w14:paraId="7DE34CC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0090–0110</w:t>
            </w:r>
          </w:p>
        </w:tc>
        <w:tc>
          <w:tcPr>
            <w:tcW w:w="7537" w:type="dxa"/>
          </w:tcPr>
          <w:p w14:paraId="1405E24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JEDNOSTKA SPONSORUJĄCA</w:t>
            </w:r>
          </w:p>
          <w:p w14:paraId="40C5E800" w14:textId="57801E6F" w:rsidR="000242CC" w:rsidRPr="002D60D7" w:rsidRDefault="00D24331" w:rsidP="004C445F">
            <w:pPr>
              <w:suppressAutoHyphens/>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Art. 4 ust. 1 pkt 14 rozporządzenia (UE) nr 575/2013</w:t>
            </w:r>
            <w:r>
              <w:rPr>
                <w:rStyle w:val="InstructionsTabelleText"/>
                <w:rFonts w:ascii="Times New Roman" w:hAnsi="Times New Roman"/>
                <w:sz w:val="24"/>
              </w:rPr>
              <w:t xml:space="preserve">. </w:t>
            </w:r>
          </w:p>
          <w:p w14:paraId="036222AB" w14:textId="77777777" w:rsidR="00C55547" w:rsidRPr="002D60D7" w:rsidRDefault="00532026" w:rsidP="004C445F">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Jednostka sponsorująca, która sekurytyzuje również swoje aktywa własne, wypełnia wiersze przeznaczone dla jednostki inicjującej, przedstawiając informacje dotyczące sekurytyzowanych przez siebie aktywów własnych.</w:t>
            </w:r>
          </w:p>
        </w:tc>
      </w:tr>
    </w:tbl>
    <w:p w14:paraId="2E044F0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7658B148" w14:textId="1570163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3" w:name="_Toc294172373"/>
      <w:bookmarkStart w:id="74" w:name="_Toc295830002"/>
      <w:bookmarkStart w:id="75" w:name="_Toc308426679"/>
      <w:bookmarkStart w:id="76" w:name="_Toc310415063"/>
      <w:bookmarkStart w:id="77" w:name="_Toc360188398"/>
      <w:bookmarkStart w:id="78" w:name="_Toc473561038"/>
      <w:bookmarkStart w:id="79" w:name="_Toc210908826"/>
      <w:r>
        <w:rPr>
          <w:rFonts w:ascii="Times New Roman" w:hAnsi="Times New Roman"/>
          <w:sz w:val="24"/>
          <w:u w:val="none"/>
        </w:rPr>
        <w:t>4.</w:t>
      </w:r>
      <w:r>
        <w:tab/>
      </w:r>
      <w:r>
        <w:rPr>
          <w:rFonts w:ascii="Times New Roman" w:hAnsi="Times New Roman"/>
          <w:sz w:val="24"/>
        </w:rPr>
        <w:t>C 20.00 – RYZYKO RYNKOWE: SZCZEGÓLNE RYZYKO Z TYTUŁU POZYCJI PRZYPISANYCH DO KORELACYJNEGO PORTFELA HANDLOWEGO WEDŁUG METODY STANDARDOWEJ (MKR SA CTP</w:t>
      </w:r>
      <w:bookmarkEnd w:id="73"/>
      <w:bookmarkEnd w:id="74"/>
      <w:bookmarkEnd w:id="75"/>
      <w:bookmarkEnd w:id="76"/>
      <w:r>
        <w:rPr>
          <w:rFonts w:ascii="Times New Roman" w:hAnsi="Times New Roman"/>
          <w:sz w:val="24"/>
        </w:rPr>
        <w:t>)</w:t>
      </w:r>
      <w:bookmarkEnd w:id="77"/>
      <w:bookmarkEnd w:id="78"/>
      <w:bookmarkEnd w:id="79"/>
    </w:p>
    <w:p w14:paraId="43960D05" w14:textId="0A1B0018"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80" w:name="_Toc294172374"/>
      <w:bookmarkStart w:id="81" w:name="_Toc295830003"/>
      <w:bookmarkStart w:id="82" w:name="_Toc308426680"/>
      <w:bookmarkStart w:id="83" w:name="_Toc310415064"/>
      <w:bookmarkStart w:id="84" w:name="_Toc360188399"/>
      <w:bookmarkStart w:id="85" w:name="_Toc473561039"/>
      <w:bookmarkStart w:id="86" w:name="_Toc210908827"/>
      <w:r>
        <w:rPr>
          <w:rFonts w:ascii="Times New Roman" w:hAnsi="Times New Roman"/>
          <w:sz w:val="24"/>
          <w:u w:val="none"/>
        </w:rPr>
        <w:t>4.1.</w:t>
      </w:r>
      <w:r>
        <w:tab/>
      </w:r>
      <w:r>
        <w:rPr>
          <w:rFonts w:ascii="Times New Roman" w:hAnsi="Times New Roman"/>
          <w:sz w:val="24"/>
        </w:rPr>
        <w:t>Uwagi ogólne</w:t>
      </w:r>
      <w:bookmarkEnd w:id="80"/>
      <w:bookmarkEnd w:id="81"/>
      <w:bookmarkEnd w:id="82"/>
      <w:bookmarkEnd w:id="83"/>
      <w:bookmarkEnd w:id="84"/>
      <w:bookmarkEnd w:id="85"/>
      <w:bookmarkEnd w:id="86"/>
    </w:p>
    <w:p w14:paraId="6E7E4803" w14:textId="7EB80912" w:rsidR="00C55547" w:rsidRPr="002D60D7" w:rsidRDefault="00C55547" w:rsidP="00E172EA">
      <w:pPr>
        <w:pStyle w:val="InstructionsText2"/>
        <w:numPr>
          <w:ilvl w:val="0"/>
          <w:numId w:val="29"/>
        </w:numPr>
        <w:suppressAutoHyphens/>
      </w:pPr>
      <w:bookmarkStart w:id="87" w:name="_Toc294172375"/>
      <w:bookmarkStart w:id="88" w:name="_Toc295830004"/>
      <w:bookmarkStart w:id="89" w:name="_Toc308426681"/>
      <w:bookmarkStart w:id="90" w:name="_Toc310415065"/>
      <w:bookmarkStart w:id="91" w:name="_Toc360188400"/>
      <w:bookmarkStart w:id="92" w:name="_Toc473561040"/>
      <w:r>
        <w:t>W przedmiotowym wzorze należy przedstawić informacje o pozycjach ujętych w korelacyjnym portfelu handlowym (CTP) (obejmujących sekurytyzacje, kredytowe instrumenty pochodne uruchamiane n-tym niewykonaniem zobowiązania oraz inne pozycje ujęte w korelacyjnym portfelu handlowym zgodnie z art. 338 ust. 3 rozporządzenia (UE) nr 575/2013) oraz o odpowiednich wymogach w zakresie funduszy własnych ustanowionych zgodnie z metodą standardową.</w:t>
      </w:r>
    </w:p>
    <w:p w14:paraId="7D9D9B10" w14:textId="1F1EFDEB" w:rsidR="00C55547" w:rsidRPr="002D60D7" w:rsidRDefault="00C55547" w:rsidP="00E172EA">
      <w:pPr>
        <w:pStyle w:val="InstructionsText2"/>
        <w:numPr>
          <w:ilvl w:val="0"/>
          <w:numId w:val="29"/>
        </w:numPr>
        <w:suppressAutoHyphens/>
      </w:pPr>
      <w:r>
        <w:t>We wzorze MKR SA CTP przedstawia się wymóg w zakresie funduszy własnych wyłącznie w odniesieniu do szczególnego ryzyka z tytułu pozycji przypisanych do korelacyjnego portfela handlowego, zgodnie z art. 335 rozporządzenia (UE) nr 575/2013 w związku z art. 338 ust. 2 i 3 tego rozporządzenia. Jeżeli pozycje ujęte w korelacyjnym portfelu handlowym są zabezpieczone kredytowymi instrumentami pochodnymi, zastosowanie mają przepisy art. 346 i 347 rozporządzenia (UE) nr 575/2013. W odniesieniu do wszystkich pozycji w korelacyjnym portfelu handlowym stosuje się ten sam wzór, niezależnie od metody stosowanej przez firmy inwestycyjne przy ustalaniu wagi ryzyka każdej pozycji zgodnie z częścią trzecią tytuł II rozdział 5 rozporządzenia (UE) nr 575/2013. Informacje dotyczące wymogów w zakresie funduszy własnych w odniesieniu do ryzyka ogólnego tych pozycji zgłasza się przy pomocy wzoru MKR SA TDI lub wzoru MKR IM.</w:t>
      </w:r>
    </w:p>
    <w:p w14:paraId="2252BE4F" w14:textId="4513CABA" w:rsidR="00C55547" w:rsidRPr="002D60D7" w:rsidRDefault="00C55547" w:rsidP="00E172EA">
      <w:pPr>
        <w:pStyle w:val="InstructionsText2"/>
        <w:numPr>
          <w:ilvl w:val="0"/>
          <w:numId w:val="29"/>
        </w:numPr>
        <w:suppressAutoHyphens/>
      </w:pPr>
      <w:r>
        <w:t xml:space="preserve">Ten wzór umożliwia rozdzielenie pozycji sekurytyzacyjnych, kredytowych instrumentów pochodnych uruchamianych n-tym niewykonaniem zobowiązania oraz innych pozycji ujętych w korelacyjnym portfelu handlowym. Pozycje sekurytyzacyjne zawsze zgłasza się w wierszach 0030, 0060 lub 0090 (w zależności od roli instytucji w procesie sekurytyzacji). Kredytowe instrumenty pochodne uruchamiane n-tym niewykonaniem zobowiązania zawsze zgłasza się w wierszu 0110. „Inne pozycje ujęte w korelacyjnym portfelu handlowym” to pozycje, które nie są pozycjami sekurytyzacyjnymi ani kredytowymi instrumentami pochodnymi uruchamianymi n-tym niewykonaniem zobowiązania (zob. definicja w art. 338 ust. 3 rozporządzenia (UE) nr 575/2013), ale są bezpośrednio „powiązane” z jedną z tych dwóch pozycji (z uwagi na zamiar zabezpieczenia). </w:t>
      </w:r>
    </w:p>
    <w:p w14:paraId="5B5B9C2A" w14:textId="127C8328" w:rsidR="00C55547" w:rsidRPr="002D60D7" w:rsidRDefault="00C55547" w:rsidP="00E172EA">
      <w:pPr>
        <w:pStyle w:val="InstructionsText2"/>
        <w:numPr>
          <w:ilvl w:val="0"/>
          <w:numId w:val="29"/>
        </w:numPr>
        <w:suppressAutoHyphens/>
      </w:pPr>
      <w:r>
        <w:t xml:space="preserve">Pozycje, którym przypisywana jest waga ryzyka 1 250 %, mogą alternatywnie zostać odliczone od kapitału podstawowego Tier I (zob. art. 244 ust. 1 lit. b), art. </w:t>
      </w:r>
      <w:r>
        <w:lastRenderedPageBreak/>
        <w:t>245 ust. 1 lit. b) oraz art. 253 rozporządzenia (UE) nr 575/2013). Pozycje te zgłasza się w tym wzorze, nawet jeżeli instytucja korzysta z możliwości odliczenia.</w:t>
      </w:r>
    </w:p>
    <w:p w14:paraId="6482CB53" w14:textId="4A90E23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3" w:name="_Toc210908828"/>
      <w:r>
        <w:rPr>
          <w:rFonts w:ascii="Times New Roman" w:hAnsi="Times New Roman"/>
          <w:sz w:val="24"/>
          <w:u w:val="none"/>
        </w:rPr>
        <w:t>4.2.</w:t>
      </w:r>
      <w:r>
        <w:tab/>
      </w:r>
      <w:r>
        <w:rPr>
          <w:rFonts w:ascii="Times New Roman" w:hAnsi="Times New Roman"/>
          <w:sz w:val="24"/>
        </w:rPr>
        <w:t>Instrukcje dotyczące poszczególnych pozycji</w:t>
      </w:r>
      <w:bookmarkEnd w:id="87"/>
      <w:bookmarkEnd w:id="88"/>
      <w:bookmarkEnd w:id="89"/>
      <w:bookmarkEnd w:id="90"/>
      <w:bookmarkEnd w:id="91"/>
      <w:bookmarkEnd w:id="92"/>
      <w:bookmarkEnd w:id="93"/>
    </w:p>
    <w:p w14:paraId="08BF27B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D60D7" w14:paraId="05BDB97B" w14:textId="77777777" w:rsidTr="00E10B85">
        <w:trPr>
          <w:trHeight w:val="602"/>
        </w:trPr>
        <w:tc>
          <w:tcPr>
            <w:tcW w:w="8890" w:type="dxa"/>
            <w:gridSpan w:val="2"/>
            <w:shd w:val="clear" w:color="auto" w:fill="CCCCCC"/>
          </w:tcPr>
          <w:p w14:paraId="286354EC"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Kolumny</w:t>
            </w:r>
          </w:p>
        </w:tc>
      </w:tr>
      <w:tr w:rsidR="00C55547" w:rsidRPr="002D60D7" w14:paraId="697D3EB6" w14:textId="77777777" w:rsidTr="00E10B85">
        <w:tc>
          <w:tcPr>
            <w:tcW w:w="1016" w:type="dxa"/>
          </w:tcPr>
          <w:p w14:paraId="5A814BB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WSZYSTKIE POZYCJE (DŁUGIE I KRÓTKIE)</w:t>
            </w:r>
          </w:p>
          <w:p w14:paraId="4F3CF7CB" w14:textId="3DE2B427" w:rsidR="005C14B0" w:rsidRPr="002D60D7" w:rsidRDefault="00C55547" w:rsidP="004C445F">
            <w:pPr>
              <w:suppressAutoHyphens/>
              <w:rPr>
                <w:rFonts w:ascii="Times New Roman" w:hAnsi="Times New Roman"/>
                <w:sz w:val="24"/>
              </w:rPr>
            </w:pPr>
            <w:r>
              <w:rPr>
                <w:rFonts w:ascii="Times New Roman" w:hAnsi="Times New Roman"/>
                <w:sz w:val="24"/>
              </w:rPr>
              <w:t>Art. 102 i art. 105 ust. 1 rozporządzenia (UE) nr 575/2013 w związku z art. 338 ust. 2 i 3 tego rozporządzenia (pozycje ujęte w korelacyjnym portfelu handlowym).</w:t>
            </w:r>
          </w:p>
          <w:p w14:paraId="70FB0860" w14:textId="54994400" w:rsidR="00C55547" w:rsidRPr="002D60D7" w:rsidRDefault="00C55547" w:rsidP="004C445F">
            <w:pPr>
              <w:suppressAutoHyphens/>
              <w:rPr>
                <w:rFonts w:ascii="Times New Roman" w:hAnsi="Times New Roman"/>
                <w:sz w:val="24"/>
              </w:rPr>
            </w:pPr>
            <w:r>
              <w:rPr>
                <w:rFonts w:ascii="Times New Roman" w:hAnsi="Times New Roman"/>
                <w:sz w:val="24"/>
              </w:rPr>
              <w:t>W kwestii rozróżnienia pomiędzy pozycjami długimi i krótkimi, stosowanego również w odniesieniu do pozycji brutto, zob. art. 328 ust. 2 rozporządzenia (UE) nr 575/2013.</w:t>
            </w:r>
          </w:p>
        </w:tc>
      </w:tr>
      <w:tr w:rsidR="00C55547" w:rsidRPr="002D60D7" w14:paraId="3641769F" w14:textId="77777777" w:rsidTr="00E10B85">
        <w:tc>
          <w:tcPr>
            <w:tcW w:w="1016" w:type="dxa"/>
          </w:tcPr>
          <w:p w14:paraId="04DBC56E"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POZYCJE ODLICZONE OD FUNDUSZY WŁASNYCH (DŁUGIE I KRÓTKIE)</w:t>
            </w:r>
          </w:p>
          <w:p w14:paraId="56207551" w14:textId="0069D39B" w:rsidR="00C55547" w:rsidRPr="002D60D7" w:rsidRDefault="00C55547" w:rsidP="004C445F">
            <w:pPr>
              <w:suppressAutoHyphens/>
              <w:rPr>
                <w:rFonts w:ascii="Times New Roman" w:hAnsi="Times New Roman"/>
                <w:sz w:val="24"/>
              </w:rPr>
            </w:pPr>
            <w:r>
              <w:rPr>
                <w:rFonts w:ascii="Times New Roman" w:hAnsi="Times New Roman"/>
                <w:sz w:val="24"/>
              </w:rPr>
              <w:t xml:space="preserve">Art. 253 rozporządzenia (UE) nr 575/2013. </w:t>
            </w:r>
          </w:p>
        </w:tc>
      </w:tr>
      <w:tr w:rsidR="00C55547" w:rsidRPr="002D60D7" w14:paraId="6E312180" w14:textId="77777777" w:rsidTr="00E10B85">
        <w:tc>
          <w:tcPr>
            <w:tcW w:w="1016" w:type="dxa"/>
          </w:tcPr>
          <w:p w14:paraId="0870959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POZYCJE NETTO (DŁUGIE I KRÓTKIE)</w:t>
            </w:r>
          </w:p>
          <w:p w14:paraId="01BDDE40" w14:textId="76E789A7" w:rsidR="005C14B0" w:rsidRPr="002D60D7" w:rsidRDefault="00C55547" w:rsidP="004C445F">
            <w:pPr>
              <w:suppressAutoHyphens/>
              <w:rPr>
                <w:rFonts w:ascii="Times New Roman" w:hAnsi="Times New Roman"/>
                <w:sz w:val="24"/>
              </w:rPr>
            </w:pPr>
            <w:r>
              <w:rPr>
                <w:rFonts w:ascii="Times New Roman" w:hAnsi="Times New Roman"/>
                <w:sz w:val="24"/>
              </w:rPr>
              <w:t xml:space="preserve">Art. 327, 328, 329 i 334 rozporządzenia (UE) nr 575/2013. </w:t>
            </w:r>
          </w:p>
          <w:p w14:paraId="6C03F093" w14:textId="3D25FE7B" w:rsidR="00C55547" w:rsidRPr="002D60D7" w:rsidRDefault="00C55547" w:rsidP="004C445F">
            <w:pPr>
              <w:suppressAutoHyphens/>
              <w:rPr>
                <w:rFonts w:ascii="Times New Roman" w:hAnsi="Times New Roman"/>
                <w:sz w:val="24"/>
              </w:rPr>
            </w:pPr>
            <w:r>
              <w:rPr>
                <w:rFonts w:ascii="Times New Roman" w:hAnsi="Times New Roman"/>
                <w:sz w:val="24"/>
              </w:rPr>
              <w:t>W kwestii rozróżnienia pomiędzy pozycjami długimi i krótkimi zob. art. 328 ust. 2 tego rozporządzenia.</w:t>
            </w:r>
          </w:p>
        </w:tc>
      </w:tr>
      <w:tr w:rsidR="00C55547" w:rsidRPr="002D60D7" w14:paraId="6F83AB99" w14:textId="77777777" w:rsidTr="00E10B85">
        <w:tc>
          <w:tcPr>
            <w:tcW w:w="1016" w:type="dxa"/>
          </w:tcPr>
          <w:p w14:paraId="6DDF2435"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PODZIAŁ POZYCJI NETTO WEDŁUG WAG RYZYKA</w:t>
            </w:r>
          </w:p>
          <w:p w14:paraId="691F4414" w14:textId="75A08501" w:rsidR="00C55547" w:rsidRPr="002D60D7" w:rsidRDefault="00133396" w:rsidP="004C445F">
            <w:pPr>
              <w:suppressAutoHyphens/>
              <w:rPr>
                <w:rFonts w:ascii="Times New Roman" w:hAnsi="Times New Roman"/>
                <w:sz w:val="24"/>
              </w:rPr>
            </w:pPr>
            <w:r>
              <w:rPr>
                <w:rStyle w:val="InstructionsTabelleText"/>
                <w:rFonts w:ascii="Times New Roman" w:hAnsi="Times New Roman"/>
                <w:sz w:val="24"/>
              </w:rPr>
              <w:t>Art. 259–262, tabele 1 i 2 w art. 263, tabele 3 i 4 w art. 264 oraz art. 266</w:t>
            </w:r>
            <w:r>
              <w:rPr>
                <w:rFonts w:ascii="Times New Roman" w:hAnsi="Times New Roman"/>
                <w:sz w:val="24"/>
              </w:rPr>
              <w:t xml:space="preserve"> rozporządzenia (UE) nr 575/2013.</w:t>
            </w:r>
          </w:p>
        </w:tc>
      </w:tr>
      <w:tr w:rsidR="00C55547" w:rsidRPr="002D60D7" w14:paraId="495D2FD0" w14:textId="77777777" w:rsidTr="00E10B85">
        <w:tc>
          <w:tcPr>
            <w:tcW w:w="1016" w:type="dxa"/>
          </w:tcPr>
          <w:p w14:paraId="295B01D9" w14:textId="77777777" w:rsidR="00C55547" w:rsidRPr="002D60D7" w:rsidRDefault="002F79EA" w:rsidP="004C445F">
            <w:pPr>
              <w:suppressAutoHyphens/>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D60D7" w:rsidRDefault="00543964"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PODZIAŁ POZYCJI NETTO WEDŁUG METOD</w:t>
            </w:r>
          </w:p>
          <w:p w14:paraId="19937787" w14:textId="465ADE79" w:rsidR="00C55547" w:rsidRPr="002D60D7" w:rsidRDefault="00C55547"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Art. 254</w:t>
            </w:r>
            <w:r>
              <w:rPr>
                <w:rFonts w:ascii="Times New Roman" w:hAnsi="Times New Roman"/>
                <w:sz w:val="24"/>
              </w:rPr>
              <w:t xml:space="preserve"> rozporządzenia (UE) nr 575/2013.</w:t>
            </w:r>
            <w:r>
              <w:rPr>
                <w:rStyle w:val="InstructionsTabelleText"/>
                <w:rFonts w:ascii="Times New Roman" w:hAnsi="Times New Roman"/>
                <w:sz w:val="24"/>
              </w:rPr>
              <w:t xml:space="preserve"> </w:t>
            </w:r>
          </w:p>
        </w:tc>
      </w:tr>
      <w:tr w:rsidR="00C55547" w:rsidRPr="002D60D7" w14:paraId="18FE6247" w14:textId="77777777" w:rsidTr="00E10B85">
        <w:tc>
          <w:tcPr>
            <w:tcW w:w="1016" w:type="dxa"/>
          </w:tcPr>
          <w:p w14:paraId="17001A21" w14:textId="77777777" w:rsidR="00C55547" w:rsidRPr="002D60D7" w:rsidRDefault="002F79EA" w:rsidP="004C445F">
            <w:pPr>
              <w:suppressAutoHyphens/>
              <w:rPr>
                <w:rFonts w:ascii="Times New Roman" w:hAnsi="Times New Roman"/>
                <w:sz w:val="24"/>
              </w:rPr>
            </w:pPr>
            <w:r>
              <w:rPr>
                <w:rFonts w:ascii="Times New Roman" w:hAnsi="Times New Roman"/>
                <w:sz w:val="24"/>
              </w:rPr>
              <w:t>0402</w:t>
            </w:r>
          </w:p>
        </w:tc>
        <w:tc>
          <w:tcPr>
            <w:tcW w:w="7874" w:type="dxa"/>
          </w:tcPr>
          <w:p w14:paraId="79F7161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 259 i 260</w:t>
            </w:r>
            <w:r>
              <w:rPr>
                <w:rFonts w:ascii="Times New Roman" w:hAnsi="Times New Roman"/>
                <w:sz w:val="24"/>
              </w:rPr>
              <w:t xml:space="preserve"> rozporządzenia (UE) nr 575/2013.</w:t>
            </w:r>
          </w:p>
        </w:tc>
      </w:tr>
      <w:tr w:rsidR="00C55547" w:rsidRPr="002D60D7" w14:paraId="35656008" w14:textId="77777777" w:rsidTr="00E10B85">
        <w:tc>
          <w:tcPr>
            <w:tcW w:w="1016" w:type="dxa"/>
          </w:tcPr>
          <w:p w14:paraId="720D0546" w14:textId="77777777" w:rsidR="00C55547" w:rsidRPr="002D60D7" w:rsidRDefault="002F79EA" w:rsidP="004C445F">
            <w:pPr>
              <w:suppressAutoHyphens/>
              <w:rPr>
                <w:rFonts w:ascii="Times New Roman" w:hAnsi="Times New Roman"/>
                <w:sz w:val="24"/>
              </w:rPr>
            </w:pPr>
            <w:r>
              <w:rPr>
                <w:rFonts w:ascii="Times New Roman" w:hAnsi="Times New Roman"/>
                <w:sz w:val="24"/>
              </w:rPr>
              <w:t>0403</w:t>
            </w:r>
          </w:p>
        </w:tc>
        <w:tc>
          <w:tcPr>
            <w:tcW w:w="7874" w:type="dxa"/>
          </w:tcPr>
          <w:p w14:paraId="789033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 261 i 262</w:t>
            </w:r>
            <w:r>
              <w:rPr>
                <w:rFonts w:ascii="Times New Roman" w:hAnsi="Times New Roman"/>
                <w:sz w:val="24"/>
              </w:rPr>
              <w:t xml:space="preserve"> rozporządzenia (UE) nr 575/2013.</w:t>
            </w:r>
          </w:p>
        </w:tc>
      </w:tr>
      <w:tr w:rsidR="00C55547" w:rsidRPr="002D60D7" w14:paraId="7B54B7CF" w14:textId="77777777" w:rsidTr="00E10B85">
        <w:tc>
          <w:tcPr>
            <w:tcW w:w="1016" w:type="dxa"/>
          </w:tcPr>
          <w:p w14:paraId="0D21F451" w14:textId="77777777" w:rsidR="00C55547" w:rsidRPr="002D60D7" w:rsidRDefault="002F79EA" w:rsidP="004C445F">
            <w:pPr>
              <w:suppressAutoHyphens/>
              <w:rPr>
                <w:rFonts w:ascii="Times New Roman" w:hAnsi="Times New Roman"/>
                <w:sz w:val="24"/>
              </w:rPr>
            </w:pPr>
            <w:r>
              <w:rPr>
                <w:rFonts w:ascii="Times New Roman" w:hAnsi="Times New Roman"/>
                <w:sz w:val="24"/>
              </w:rPr>
              <w:t>0404</w:t>
            </w:r>
          </w:p>
        </w:tc>
        <w:tc>
          <w:tcPr>
            <w:tcW w:w="7874" w:type="dxa"/>
          </w:tcPr>
          <w:p w14:paraId="6AA67FFF"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 263 i 264</w:t>
            </w:r>
            <w:r>
              <w:rPr>
                <w:rFonts w:ascii="Times New Roman" w:hAnsi="Times New Roman"/>
                <w:sz w:val="24"/>
              </w:rPr>
              <w:t xml:space="preserve"> rozporządzenia (UE) nr 575/2013.</w:t>
            </w:r>
          </w:p>
        </w:tc>
      </w:tr>
      <w:tr w:rsidR="00C55547" w:rsidRPr="002D60D7" w14:paraId="7979A32D" w14:textId="77777777" w:rsidTr="00E10B85">
        <w:tc>
          <w:tcPr>
            <w:tcW w:w="1016" w:type="dxa"/>
          </w:tcPr>
          <w:p w14:paraId="7C1C67E6" w14:textId="77777777" w:rsidR="00C55547" w:rsidRPr="002D60D7" w:rsidRDefault="002F79EA" w:rsidP="004C445F">
            <w:pPr>
              <w:suppressAutoHyphens/>
              <w:rPr>
                <w:rFonts w:ascii="Times New Roman" w:hAnsi="Times New Roman"/>
                <w:sz w:val="24"/>
              </w:rPr>
            </w:pPr>
            <w:r>
              <w:rPr>
                <w:rFonts w:ascii="Times New Roman" w:hAnsi="Times New Roman"/>
                <w:sz w:val="24"/>
              </w:rPr>
              <w:t>0405</w:t>
            </w:r>
          </w:p>
        </w:tc>
        <w:tc>
          <w:tcPr>
            <w:tcW w:w="7874" w:type="dxa"/>
          </w:tcPr>
          <w:p w14:paraId="68CACB61"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METODA WEWNĘTRZNYCH OSZACOWAŃ</w:t>
            </w:r>
          </w:p>
          <w:p w14:paraId="46E92693" w14:textId="2A1B6CC7"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 254 i 265 oraz art. 266 ust. 5</w:t>
            </w:r>
            <w:r>
              <w:rPr>
                <w:rFonts w:ascii="Times New Roman" w:hAnsi="Times New Roman"/>
                <w:sz w:val="24"/>
              </w:rPr>
              <w:t xml:space="preserve"> rozporządzenia (UE) nr 575/2013.</w:t>
            </w:r>
          </w:p>
        </w:tc>
      </w:tr>
      <w:tr w:rsidR="00A97C62" w:rsidRPr="002D60D7" w14:paraId="412C0D2A" w14:textId="77777777" w:rsidTr="00E10B85">
        <w:tc>
          <w:tcPr>
            <w:tcW w:w="1016" w:type="dxa"/>
          </w:tcPr>
          <w:p w14:paraId="184EAC6C" w14:textId="26696219" w:rsidR="00A97C62" w:rsidRPr="002D60D7" w:rsidRDefault="00A97C62" w:rsidP="004C445F">
            <w:pPr>
              <w:suppressAutoHyphens/>
              <w:rPr>
                <w:rFonts w:ascii="Times New Roman" w:hAnsi="Times New Roman"/>
                <w:sz w:val="24"/>
              </w:rPr>
            </w:pPr>
            <w:r>
              <w:rPr>
                <w:rFonts w:ascii="Times New Roman" w:hAnsi="Times New Roman"/>
                <w:sz w:val="24"/>
              </w:rPr>
              <w:t>0900</w:t>
            </w:r>
          </w:p>
        </w:tc>
        <w:tc>
          <w:tcPr>
            <w:tcW w:w="7874" w:type="dxa"/>
          </w:tcPr>
          <w:p w14:paraId="33E51780" w14:textId="77777777" w:rsidR="00A97C62" w:rsidRPr="002D60D7" w:rsidRDefault="00A97C62" w:rsidP="004C445F">
            <w:pPr>
              <w:suppressAutoHyphens/>
              <w:spacing w:before="0" w:after="0"/>
              <w:jc w:val="left"/>
              <w:rPr>
                <w:rFonts w:ascii="Times New Roman" w:hAnsi="Times New Roman"/>
                <w:b/>
                <w:sz w:val="24"/>
                <w:u w:val="single"/>
              </w:rPr>
            </w:pPr>
            <w:r>
              <w:rPr>
                <w:rFonts w:ascii="Times New Roman" w:hAnsi="Times New Roman"/>
                <w:b/>
                <w:sz w:val="24"/>
                <w:u w:val="single"/>
              </w:rPr>
              <w:t>SZCZEGÓLNE TRAKTOWANIE TRANSZ UPRZYWILEJOWANYCH KWALIFIKUJĄCYCH SIĘ SEKURYTYZACJI EKSPOZYCJI NIEOBSŁUGIWANYCH</w:t>
            </w:r>
          </w:p>
          <w:p w14:paraId="1D397AE3" w14:textId="76C348BD" w:rsidR="00A97C62" w:rsidRPr="002D60D7" w:rsidRDefault="00A97C62" w:rsidP="004C445F">
            <w:pPr>
              <w:suppressAutoHyphens/>
              <w:autoSpaceDE w:val="0"/>
              <w:autoSpaceDN w:val="0"/>
              <w:adjustRightInd w:val="0"/>
              <w:jc w:val="left"/>
              <w:rPr>
                <w:rFonts w:ascii="Times New Roman" w:hAnsi="Times New Roman"/>
                <w:b/>
                <w:bCs/>
                <w:sz w:val="24"/>
                <w:u w:val="single"/>
              </w:rPr>
            </w:pPr>
            <w:r>
              <w:rPr>
                <w:rFonts w:ascii="Times New Roman" w:hAnsi="Times New Roman"/>
                <w:sz w:val="24"/>
              </w:rPr>
              <w:lastRenderedPageBreak/>
              <w:t xml:space="preserve">Art. </w:t>
            </w:r>
            <w:r>
              <w:rPr>
                <w:rStyle w:val="InstructionsTabelleText"/>
                <w:rFonts w:ascii="Times New Roman" w:hAnsi="Times New Roman"/>
                <w:sz w:val="24"/>
              </w:rPr>
              <w:t>269a</w:t>
            </w:r>
            <w:r>
              <w:rPr>
                <w:rFonts w:ascii="Times New Roman" w:hAnsi="Times New Roman"/>
                <w:sz w:val="24"/>
              </w:rPr>
              <w:t xml:space="preserve"> ust. 3 rozporządzenia (UE) nr 575/2013.</w:t>
            </w:r>
          </w:p>
        </w:tc>
      </w:tr>
      <w:tr w:rsidR="00C55547" w:rsidRPr="002D60D7" w14:paraId="5C0D49CC" w14:textId="77777777" w:rsidTr="00E10B85">
        <w:tc>
          <w:tcPr>
            <w:tcW w:w="1016" w:type="dxa"/>
          </w:tcPr>
          <w:p w14:paraId="4A75E404" w14:textId="77777777" w:rsidR="00C55547" w:rsidRPr="002D60D7" w:rsidRDefault="002F79EA" w:rsidP="004C445F">
            <w:pPr>
              <w:suppressAutoHyphens/>
              <w:rPr>
                <w:rFonts w:ascii="Times New Roman" w:hAnsi="Times New Roman"/>
                <w:sz w:val="24"/>
              </w:rPr>
            </w:pPr>
            <w:r>
              <w:rPr>
                <w:rFonts w:ascii="Times New Roman" w:hAnsi="Times New Roman"/>
                <w:sz w:val="24"/>
              </w:rPr>
              <w:lastRenderedPageBreak/>
              <w:t>0406</w:t>
            </w:r>
          </w:p>
        </w:tc>
        <w:tc>
          <w:tcPr>
            <w:tcW w:w="7874" w:type="dxa"/>
          </w:tcPr>
          <w:p w14:paraId="27B9523C" w14:textId="26593451"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INNE (WAGA RYZYKA = 1 250 %)</w:t>
            </w:r>
          </w:p>
          <w:p w14:paraId="0B94870A" w14:textId="0A4BBAC5"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 254 ust. 7</w:t>
            </w:r>
            <w:r>
              <w:rPr>
                <w:rFonts w:ascii="Times New Roman" w:hAnsi="Times New Roman"/>
                <w:sz w:val="24"/>
              </w:rPr>
              <w:t xml:space="preserve"> rozporządzenia (UE) nr 575/2013.</w:t>
            </w:r>
          </w:p>
        </w:tc>
      </w:tr>
      <w:tr w:rsidR="00C55547" w:rsidRPr="002D60D7" w14:paraId="16A48520" w14:textId="77777777" w:rsidTr="00E10B85">
        <w:tc>
          <w:tcPr>
            <w:tcW w:w="1016" w:type="dxa"/>
          </w:tcPr>
          <w:p w14:paraId="04D4F5AC" w14:textId="77777777" w:rsidR="00C55547" w:rsidRPr="002D60D7" w:rsidRDefault="002F79EA" w:rsidP="004C445F">
            <w:pPr>
              <w:suppressAutoHyphens/>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PRZED UWZGLĘDNIENIEM PUŁAPU – WAŻONE POZYCJE DŁUGIE I KRÓTKIE NETTO</w:t>
            </w:r>
          </w:p>
          <w:p w14:paraId="7E8A31C6" w14:textId="7928DA0B" w:rsidR="00C55547" w:rsidRPr="002D60D7" w:rsidRDefault="00C55547" w:rsidP="004C445F">
            <w:pPr>
              <w:suppressAutoHyphens/>
              <w:rPr>
                <w:rFonts w:ascii="Times New Roman" w:hAnsi="Times New Roman"/>
                <w:sz w:val="24"/>
              </w:rPr>
            </w:pPr>
            <w:r>
              <w:rPr>
                <w:rFonts w:ascii="Times New Roman" w:hAnsi="Times New Roman"/>
                <w:sz w:val="24"/>
              </w:rPr>
              <w:t xml:space="preserve">Art. 338 rozporządzenia (UE) nr 575/2013, nie uwzględniając swobody uznania przewidzianej w art. 335 tego rozporządzenia. </w:t>
            </w:r>
          </w:p>
        </w:tc>
      </w:tr>
      <w:tr w:rsidR="00C55547" w:rsidRPr="002D60D7" w14:paraId="566ACCB3" w14:textId="77777777" w:rsidTr="00E10B85">
        <w:tc>
          <w:tcPr>
            <w:tcW w:w="1016" w:type="dxa"/>
          </w:tcPr>
          <w:p w14:paraId="4093CA68" w14:textId="77777777" w:rsidR="00C55547" w:rsidRPr="002D60D7" w:rsidRDefault="002F79EA" w:rsidP="004C445F">
            <w:pPr>
              <w:suppressAutoHyphens/>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 UWZGLĘDNIENIU PUŁAPU – WAŻONE POZYCJE DŁUGIE I KRÓTKIE NETTO</w:t>
            </w:r>
          </w:p>
          <w:p w14:paraId="3304B399" w14:textId="2F41CA57" w:rsidR="00C55547" w:rsidRPr="002D60D7" w:rsidRDefault="00C55547" w:rsidP="004C445F">
            <w:pPr>
              <w:suppressAutoHyphens/>
              <w:rPr>
                <w:rFonts w:ascii="Times New Roman" w:hAnsi="Times New Roman"/>
                <w:sz w:val="24"/>
              </w:rPr>
            </w:pPr>
            <w:r>
              <w:rPr>
                <w:rFonts w:ascii="Times New Roman" w:hAnsi="Times New Roman"/>
                <w:sz w:val="24"/>
              </w:rPr>
              <w:t xml:space="preserve">Art. 338 rozporządzenia (UE) nr 575/2013, uwzględniając swobodę uznania przewidzianą w art. 335 tego rozporządzenia. </w:t>
            </w:r>
          </w:p>
        </w:tc>
      </w:tr>
      <w:tr w:rsidR="00C55547" w:rsidRPr="002D60D7" w14:paraId="23063B74" w14:textId="77777777" w:rsidTr="00E10B85">
        <w:tc>
          <w:tcPr>
            <w:tcW w:w="1016" w:type="dxa"/>
          </w:tcPr>
          <w:p w14:paraId="5A3BC562" w14:textId="77777777" w:rsidR="00C55547" w:rsidRPr="002D60D7" w:rsidRDefault="002F79EA" w:rsidP="004C445F">
            <w:pPr>
              <w:suppressAutoHyphens/>
              <w:rPr>
                <w:rFonts w:ascii="Times New Roman" w:hAnsi="Times New Roman"/>
                <w:sz w:val="24"/>
              </w:rPr>
            </w:pPr>
            <w:r>
              <w:rPr>
                <w:rFonts w:ascii="Times New Roman" w:hAnsi="Times New Roman"/>
                <w:sz w:val="24"/>
              </w:rPr>
              <w:t>0450</w:t>
            </w:r>
          </w:p>
        </w:tc>
        <w:tc>
          <w:tcPr>
            <w:tcW w:w="7874" w:type="dxa"/>
          </w:tcPr>
          <w:p w14:paraId="4210145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ŁĄCZNE WYMOGI W ZAKRESIE FUNDUSZY WŁASNYCH</w:t>
            </w:r>
          </w:p>
          <w:p w14:paraId="58A6824C" w14:textId="7AE8FACA" w:rsidR="00733F21" w:rsidRPr="002D60D7" w:rsidRDefault="00C55547" w:rsidP="004C445F">
            <w:pPr>
              <w:suppressAutoHyphens/>
              <w:rPr>
                <w:rFonts w:ascii="Times New Roman" w:hAnsi="Times New Roman"/>
                <w:sz w:val="24"/>
              </w:rPr>
            </w:pPr>
            <w:r>
              <w:rPr>
                <w:rFonts w:ascii="Times New Roman" w:hAnsi="Times New Roman"/>
                <w:sz w:val="24"/>
              </w:rPr>
              <w:t>Wymóg w zakresie funduszy własnych ustala się jako większą z następujących wartości:</w:t>
            </w:r>
          </w:p>
          <w:p w14:paraId="6F610485" w14:textId="33CC9A69" w:rsidR="00733F21" w:rsidRPr="002D60D7" w:rsidRDefault="00A92865" w:rsidP="004C445F">
            <w:pPr>
              <w:suppressAutoHyphens/>
              <w:rPr>
                <w:rFonts w:ascii="Times New Roman" w:hAnsi="Times New Roman"/>
                <w:sz w:val="24"/>
              </w:rPr>
            </w:pPr>
            <w:r>
              <w:rPr>
                <w:rFonts w:ascii="Times New Roman" w:hAnsi="Times New Roman"/>
                <w:sz w:val="24"/>
              </w:rPr>
              <w:t>a) narzut z tytułu ryzyka szczególnego, który miałby zastosowanie tylko do pozycji długich netto (kolumna 0430);</w:t>
            </w:r>
          </w:p>
          <w:p w14:paraId="7DEA5D32" w14:textId="370772D1" w:rsidR="00C55547" w:rsidRPr="002D60D7" w:rsidRDefault="00A92865" w:rsidP="004C445F">
            <w:pPr>
              <w:suppressAutoHyphens/>
              <w:rPr>
                <w:rFonts w:ascii="Times New Roman" w:hAnsi="Times New Roman"/>
                <w:sz w:val="24"/>
              </w:rPr>
            </w:pPr>
            <w:r>
              <w:rPr>
                <w:rFonts w:ascii="Times New Roman" w:hAnsi="Times New Roman"/>
                <w:sz w:val="24"/>
              </w:rPr>
              <w:t>b) narzut z tytułu ryzyka szczególnego, który miałby zastosowanie tylko do pozycji krótkich netto (kolumna 0440).</w:t>
            </w:r>
          </w:p>
        </w:tc>
      </w:tr>
      <w:tr w:rsidR="00A92865" w:rsidRPr="002D60D7" w14:paraId="17D4431B" w14:textId="77777777" w:rsidTr="00E10B85">
        <w:tc>
          <w:tcPr>
            <w:tcW w:w="1016" w:type="dxa"/>
          </w:tcPr>
          <w:p w14:paraId="3DE8C69F" w14:textId="77777777" w:rsidR="00A92865" w:rsidRPr="002D60D7" w:rsidRDefault="00A92865" w:rsidP="004C445F">
            <w:pPr>
              <w:suppressAutoHyphens/>
              <w:rPr>
                <w:rFonts w:ascii="Times New Roman" w:hAnsi="Times New Roman"/>
                <w:sz w:val="24"/>
              </w:rPr>
            </w:pPr>
          </w:p>
        </w:tc>
        <w:tc>
          <w:tcPr>
            <w:tcW w:w="7874" w:type="dxa"/>
          </w:tcPr>
          <w:p w14:paraId="26189336" w14:textId="77777777" w:rsidR="00A92865" w:rsidRPr="002D60D7" w:rsidRDefault="00A92865" w:rsidP="004C445F">
            <w:pPr>
              <w:suppressAutoHyphens/>
              <w:rPr>
                <w:rStyle w:val="InstructionsTabelleberschrift"/>
                <w:rFonts w:ascii="Times New Roman" w:hAnsi="Times New Roman"/>
                <w:sz w:val="24"/>
              </w:rPr>
            </w:pPr>
          </w:p>
        </w:tc>
      </w:tr>
    </w:tbl>
    <w:p w14:paraId="4123A762"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p w14:paraId="0FD93711"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2D60D7" w14:paraId="0C05A0C6" w14:textId="77777777" w:rsidTr="00E10B85">
        <w:trPr>
          <w:trHeight w:val="642"/>
        </w:trPr>
        <w:tc>
          <w:tcPr>
            <w:tcW w:w="9212" w:type="dxa"/>
            <w:gridSpan w:val="2"/>
            <w:shd w:val="clear" w:color="auto" w:fill="CCCCCC"/>
          </w:tcPr>
          <w:p w14:paraId="1B224033"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Wiersze</w:t>
            </w:r>
          </w:p>
        </w:tc>
      </w:tr>
      <w:tr w:rsidR="00C55547" w:rsidRPr="002D60D7" w14:paraId="51303CB0" w14:textId="77777777" w:rsidTr="00E10B85">
        <w:tc>
          <w:tcPr>
            <w:tcW w:w="1008" w:type="dxa"/>
          </w:tcPr>
          <w:p w14:paraId="4EF580E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EKSPOZYCJE CAŁKOWITE</w:t>
            </w:r>
          </w:p>
          <w:p w14:paraId="47BDA358" w14:textId="43CE2ADE" w:rsidR="00C55547" w:rsidRPr="002D60D7" w:rsidRDefault="00C55547" w:rsidP="004C445F">
            <w:pPr>
              <w:suppressAutoHyphens/>
              <w:rPr>
                <w:rFonts w:ascii="Times New Roman" w:hAnsi="Times New Roman"/>
                <w:sz w:val="24"/>
              </w:rPr>
            </w:pPr>
            <w:r>
              <w:rPr>
                <w:rFonts w:ascii="Times New Roman" w:hAnsi="Times New Roman"/>
                <w:sz w:val="24"/>
              </w:rPr>
              <w:t>Całkowita kwota pozostających pozycji (przechowywanych w korelacyjnym portfelu handlowym) zgłoszonych przez instytucję pełniącą rolę jednostki inicjującej, inwestora lub jednostki sponsorującej.</w:t>
            </w:r>
          </w:p>
        </w:tc>
      </w:tr>
      <w:tr w:rsidR="00C55547" w:rsidRPr="002D60D7" w14:paraId="4F9E3B66" w14:textId="77777777" w:rsidTr="00E10B85">
        <w:tc>
          <w:tcPr>
            <w:tcW w:w="1008" w:type="dxa"/>
          </w:tcPr>
          <w:p w14:paraId="4294FDFC"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JEDNOSTKA INICJUJĄCA</w:t>
            </w:r>
          </w:p>
          <w:p w14:paraId="07F7FC7F" w14:textId="691C5D11" w:rsidR="00C55547" w:rsidRPr="002D60D7" w:rsidRDefault="00C55547" w:rsidP="004C445F">
            <w:pPr>
              <w:suppressAutoHyphens/>
              <w:rPr>
                <w:rFonts w:ascii="Times New Roman" w:hAnsi="Times New Roman"/>
                <w:sz w:val="24"/>
              </w:rPr>
            </w:pPr>
            <w:r>
              <w:rPr>
                <w:rFonts w:ascii="Times New Roman" w:hAnsi="Times New Roman"/>
                <w:sz w:val="24"/>
              </w:rPr>
              <w:t xml:space="preserve">Art. 4 ust. 1 pkt 13 rozporządzenia (UE) nr 575/2013. </w:t>
            </w:r>
          </w:p>
        </w:tc>
      </w:tr>
      <w:tr w:rsidR="00C55547" w:rsidRPr="002D60D7" w14:paraId="1113CFCE" w14:textId="77777777" w:rsidTr="00E10B85">
        <w:tc>
          <w:tcPr>
            <w:tcW w:w="1008" w:type="dxa"/>
          </w:tcPr>
          <w:p w14:paraId="045998C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INWESTOR</w:t>
            </w:r>
          </w:p>
          <w:p w14:paraId="5507389D" w14:textId="574F527A" w:rsidR="00C55547" w:rsidRPr="002D60D7" w:rsidRDefault="00C55547" w:rsidP="004C445F">
            <w:pPr>
              <w:suppressAutoHyphens/>
              <w:rPr>
                <w:rFonts w:ascii="Times New Roman" w:hAnsi="Times New Roman"/>
                <w:sz w:val="24"/>
              </w:rPr>
            </w:pPr>
            <w:r>
              <w:rPr>
                <w:rFonts w:ascii="Times New Roman" w:hAnsi="Times New Roman"/>
                <w:sz w:val="24"/>
              </w:rPr>
              <w:t>Instytucja kredytowa będąca posiadaczem pozycji sekurytyzacyjnych w ramach transakcji sekurytyzacyjnych, w odniesieniu do których nie pełni roli jednostki inicjującej, jednostki sponsorującej ani pierwotnego kredytodawcy.</w:t>
            </w:r>
          </w:p>
        </w:tc>
      </w:tr>
      <w:tr w:rsidR="00C55547" w:rsidRPr="002D60D7" w14:paraId="3AE4557E" w14:textId="77777777" w:rsidTr="00E10B85">
        <w:tc>
          <w:tcPr>
            <w:tcW w:w="1008" w:type="dxa"/>
          </w:tcPr>
          <w:p w14:paraId="4017D3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JEDNOSTKA SPONSORUJĄCA</w:t>
            </w:r>
          </w:p>
          <w:p w14:paraId="65D6B605" w14:textId="002B3FBA" w:rsidR="005C14B0" w:rsidRPr="002D60D7" w:rsidRDefault="00E64BFE" w:rsidP="004C445F">
            <w:pPr>
              <w:suppressAutoHyphens/>
              <w:rPr>
                <w:rFonts w:ascii="Times New Roman" w:hAnsi="Times New Roman"/>
                <w:sz w:val="24"/>
              </w:rPr>
            </w:pPr>
            <w:r>
              <w:rPr>
                <w:rFonts w:ascii="Times New Roman" w:hAnsi="Times New Roman"/>
                <w:sz w:val="24"/>
              </w:rPr>
              <w:t xml:space="preserve"> Art. 4 ust. 1 pkt 14 rozporządzenia (UE) nr 575/2013. </w:t>
            </w:r>
          </w:p>
          <w:p w14:paraId="7911CCA2" w14:textId="77777777" w:rsidR="00C55547" w:rsidRPr="002D60D7" w:rsidRDefault="005F3BBE" w:rsidP="004C445F">
            <w:pPr>
              <w:suppressAutoHyphens/>
              <w:rPr>
                <w:rFonts w:ascii="Times New Roman" w:hAnsi="Times New Roman"/>
                <w:sz w:val="24"/>
              </w:rPr>
            </w:pPr>
            <w:r>
              <w:rPr>
                <w:rFonts w:ascii="Times New Roman" w:hAnsi="Times New Roman"/>
                <w:sz w:val="24"/>
              </w:rPr>
              <w:lastRenderedPageBreak/>
              <w:t>Jednostka sponsorująca, która sekurytyzuje również swoje aktywa własne, wypełnia wiersze przeznaczone dla jednostki inicjującej, przedstawiając informacje dotyczące sekurytyzowanych przez siebie aktywów własnych.</w:t>
            </w:r>
          </w:p>
        </w:tc>
      </w:tr>
      <w:tr w:rsidR="00C55547" w:rsidRPr="002D60D7" w14:paraId="5A0251A3" w14:textId="77777777" w:rsidTr="00E10B85">
        <w:tc>
          <w:tcPr>
            <w:tcW w:w="1008" w:type="dxa"/>
          </w:tcPr>
          <w:p w14:paraId="64B09950"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0030, 0060 oraz 0090</w:t>
            </w:r>
          </w:p>
        </w:tc>
        <w:tc>
          <w:tcPr>
            <w:tcW w:w="8204" w:type="dxa"/>
          </w:tcPr>
          <w:p w14:paraId="65F68A65"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POZYCJE SEKURYTYZACYJNE</w:t>
            </w:r>
          </w:p>
          <w:p w14:paraId="3E2839F4" w14:textId="5E373E76" w:rsidR="00C55547" w:rsidRPr="002D60D7" w:rsidRDefault="00C55547" w:rsidP="004C445F">
            <w:pPr>
              <w:suppressAutoHyphens/>
              <w:rPr>
                <w:rFonts w:ascii="Times New Roman" w:hAnsi="Times New Roman"/>
                <w:sz w:val="24"/>
              </w:rPr>
            </w:pPr>
            <w:r>
              <w:rPr>
                <w:rFonts w:ascii="Times New Roman" w:hAnsi="Times New Roman"/>
                <w:sz w:val="24"/>
              </w:rPr>
              <w:t>Korelacyjny portfel handlowy obejmuje sekurytyzacje, kredytowe instrumenty pochodne uruchamiane n-tym niewykonaniem zobowiązania oraz, potencjalnie, inne pozycje zabezpieczające spełniające kryteria ustanowione w art. 338 ust. 2 i 3 rozporządzenia (UE) nr 575/2013.</w:t>
            </w:r>
          </w:p>
          <w:p w14:paraId="284429BF" w14:textId="77777777" w:rsidR="00C55547" w:rsidRPr="002D60D7" w:rsidRDefault="00C55547" w:rsidP="004C445F">
            <w:pPr>
              <w:suppressAutoHyphens/>
              <w:rPr>
                <w:rFonts w:ascii="Times New Roman" w:hAnsi="Times New Roman"/>
                <w:sz w:val="24"/>
              </w:rPr>
            </w:pPr>
            <w:r>
              <w:rPr>
                <w:rFonts w:ascii="Times New Roman" w:hAnsi="Times New Roman"/>
                <w:sz w:val="24"/>
              </w:rPr>
              <w:t>Instrumenty pochodne ekspozycji sekurytyzacyjnych, które zapewniają proporcjonalny udział, a także pozycje zabezpieczające pozycje ujęte w korelacyjnym portfelu handlowym ujmuje się w wierszu „Inne pozycje ujęte w korelacyjnym portfelu handlowym”.</w:t>
            </w:r>
          </w:p>
        </w:tc>
      </w:tr>
      <w:tr w:rsidR="00C55547" w:rsidRPr="002D60D7" w14:paraId="310FE06B" w14:textId="77777777" w:rsidTr="00E10B85">
        <w:tc>
          <w:tcPr>
            <w:tcW w:w="1008" w:type="dxa"/>
          </w:tcPr>
          <w:p w14:paraId="2602BE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KREDYTOWE INSTRUMENTY POCHODNE URUCHAMIANE N-TYM NIEWYKONANIEM ZOBOWIĄZANIA</w:t>
            </w:r>
          </w:p>
          <w:p w14:paraId="298FC0AB" w14:textId="5115C116" w:rsidR="00C55547" w:rsidRPr="002D60D7" w:rsidRDefault="00C55547" w:rsidP="004C445F">
            <w:pPr>
              <w:suppressAutoHyphens/>
              <w:rPr>
                <w:rFonts w:ascii="Times New Roman" w:hAnsi="Times New Roman"/>
                <w:sz w:val="24"/>
              </w:rPr>
            </w:pPr>
            <w:r>
              <w:rPr>
                <w:rFonts w:ascii="Times New Roman" w:hAnsi="Times New Roman"/>
                <w:sz w:val="24"/>
              </w:rPr>
              <w:t>Kredytowe instrumenty pochodne uruchamiane n-tym niewykonaniem zobowiązania zabezpieczane kredytowymi instrumentami pochodnymi uruchamianymi n-tym niewykonaniem zobowiązania zgodnie z art. 347 rozporządzenia (UE) nr 575/2013 zgłasza się – jedne i drugie – w przedmiotowej pozycji.</w:t>
            </w:r>
          </w:p>
          <w:p w14:paraId="0ADF3C10" w14:textId="08643021" w:rsidR="00C55547" w:rsidRPr="002D60D7" w:rsidRDefault="00C55547" w:rsidP="004C445F">
            <w:pPr>
              <w:suppressAutoHyphens/>
              <w:rPr>
                <w:rFonts w:ascii="Times New Roman" w:hAnsi="Times New Roman"/>
                <w:sz w:val="24"/>
              </w:rPr>
            </w:pPr>
            <w:r>
              <w:rPr>
                <w:rFonts w:ascii="Times New Roman" w:hAnsi="Times New Roman"/>
                <w:sz w:val="24"/>
              </w:rPr>
              <w:t>Jednostka inicjująca, inwestor i jednostka sponsorująca w ramach danej pozycji nie jest brana pod uwagę w kontekście kredytowych instrumentów pochodnych uruchamianych n-tym niewykonaniem zobowiązania. W konsekwencji kredytowych instrumentów pochodnych uruchamianych n-tym niewykonaniem zobowiązania nie można podzielić w podobny sposób jak pozycji sekurytyzacyjnych.</w:t>
            </w:r>
          </w:p>
        </w:tc>
      </w:tr>
      <w:tr w:rsidR="00C55547" w:rsidRPr="002D60D7" w14:paraId="3804EA7A" w14:textId="77777777" w:rsidTr="00E10B85">
        <w:tc>
          <w:tcPr>
            <w:tcW w:w="1008" w:type="dxa"/>
          </w:tcPr>
          <w:p w14:paraId="492141F6"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0100 i 0120</w:t>
            </w:r>
          </w:p>
        </w:tc>
        <w:tc>
          <w:tcPr>
            <w:tcW w:w="8204" w:type="dxa"/>
          </w:tcPr>
          <w:p w14:paraId="1BEC531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INNE POZYCJE UJĘTE W KORELACYJNYM PORTFELU HANDLOWYM</w:t>
            </w:r>
          </w:p>
          <w:p w14:paraId="543C28DD" w14:textId="77777777" w:rsidR="00C55547" w:rsidRPr="002D60D7" w:rsidRDefault="00C55547" w:rsidP="004C445F">
            <w:pPr>
              <w:suppressAutoHyphens/>
              <w:rPr>
                <w:rFonts w:ascii="Times New Roman" w:hAnsi="Times New Roman"/>
                <w:sz w:val="24"/>
              </w:rPr>
            </w:pPr>
            <w:r>
              <w:rPr>
                <w:rFonts w:ascii="Times New Roman" w:hAnsi="Times New Roman"/>
                <w:sz w:val="24"/>
              </w:rPr>
              <w:t xml:space="preserve">Uwzględnione są następujące pozycje: </w:t>
            </w:r>
          </w:p>
          <w:p w14:paraId="009DBFDC" w14:textId="71465A30" w:rsidR="002272E2"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instrumenty pochodne ekspozycji sekurytyzacyjnych, które zapewniają proporcjonalny udział, a także pozycje zabezpieczające pozycje ujęte w korelacyjnym portfelu handlowym;</w:t>
            </w:r>
          </w:p>
          <w:p w14:paraId="6225E087" w14:textId="0E1CE11C" w:rsidR="002272E2" w:rsidRPr="002D60D7" w:rsidRDefault="00C55547"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pozycje ujęte w korelacyjnym portfelu handlowym zabezpieczone kredytowymi instrumentami pochodnymi zgodnie z art. 346 rozporządzenia (UE) nr 575/2013;</w:t>
            </w:r>
          </w:p>
          <w:p w14:paraId="37D9C26F" w14:textId="118835A5" w:rsidR="00C55547"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inne pozycje spełniające warunki określone w art. 338 ust. 3 rozporządzenia (UE) nr 575/2013.</w:t>
            </w:r>
          </w:p>
        </w:tc>
      </w:tr>
    </w:tbl>
    <w:p w14:paraId="2FA40F1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3E44EE8" w14:textId="0CB90CC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4" w:name="_Toc262566429"/>
      <w:bookmarkStart w:id="95" w:name="_Toc295830005"/>
      <w:bookmarkStart w:id="96" w:name="_Toc308426682"/>
      <w:bookmarkStart w:id="97" w:name="_Toc310415066"/>
      <w:bookmarkStart w:id="98" w:name="_Toc360188401"/>
      <w:bookmarkStart w:id="99" w:name="_Toc473561041"/>
      <w:bookmarkStart w:id="100" w:name="_Toc210908829"/>
      <w:r>
        <w:rPr>
          <w:rFonts w:ascii="Times New Roman" w:hAnsi="Times New Roman"/>
          <w:sz w:val="24"/>
          <w:u w:val="none"/>
        </w:rPr>
        <w:lastRenderedPageBreak/>
        <w:t>5.</w:t>
      </w:r>
      <w:r>
        <w:tab/>
      </w:r>
      <w:r>
        <w:rPr>
          <w:rFonts w:ascii="Times New Roman" w:hAnsi="Times New Roman"/>
          <w:sz w:val="24"/>
        </w:rPr>
        <w:t>C 21.00 – Ryzyko rynkowe: Ryzyko pozycji z tytułu instrumentów kapitałowych według metody standardowej</w:t>
      </w:r>
      <w:bookmarkEnd w:id="94"/>
      <w:bookmarkEnd w:id="95"/>
      <w:bookmarkEnd w:id="96"/>
      <w:bookmarkEnd w:id="97"/>
      <w:bookmarkEnd w:id="98"/>
      <w:r>
        <w:rPr>
          <w:rFonts w:ascii="Times New Roman" w:hAnsi="Times New Roman"/>
          <w:sz w:val="24"/>
        </w:rPr>
        <w:t xml:space="preserve"> (MKR SA EQU)</w:t>
      </w:r>
      <w:bookmarkEnd w:id="99"/>
      <w:bookmarkEnd w:id="100"/>
    </w:p>
    <w:p w14:paraId="28B3FACA" w14:textId="344FF54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1" w:name="_Toc262566430"/>
      <w:bookmarkStart w:id="102" w:name="_Toc295830006"/>
      <w:bookmarkStart w:id="103" w:name="_Toc308426683"/>
      <w:bookmarkStart w:id="104" w:name="_Toc310415067"/>
      <w:bookmarkStart w:id="105" w:name="_Toc360188402"/>
      <w:bookmarkStart w:id="106" w:name="_Toc473561042"/>
      <w:bookmarkStart w:id="107" w:name="_Toc210908830"/>
      <w:r>
        <w:rPr>
          <w:rFonts w:ascii="Times New Roman" w:hAnsi="Times New Roman"/>
          <w:sz w:val="24"/>
          <w:u w:val="none"/>
        </w:rPr>
        <w:t>5.1.</w:t>
      </w:r>
      <w:r>
        <w:tab/>
      </w:r>
      <w:r>
        <w:rPr>
          <w:rFonts w:ascii="Times New Roman" w:hAnsi="Times New Roman"/>
          <w:sz w:val="24"/>
        </w:rPr>
        <w:t>Uwagi ogólne</w:t>
      </w:r>
      <w:bookmarkEnd w:id="101"/>
      <w:bookmarkEnd w:id="102"/>
      <w:bookmarkEnd w:id="103"/>
      <w:bookmarkEnd w:id="104"/>
      <w:bookmarkEnd w:id="105"/>
      <w:bookmarkEnd w:id="106"/>
      <w:bookmarkEnd w:id="107"/>
    </w:p>
    <w:p w14:paraId="1BA8EF6D" w14:textId="368B1B75" w:rsidR="000B0B09" w:rsidRPr="002D60D7" w:rsidRDefault="000B0B09" w:rsidP="00E172EA">
      <w:pPr>
        <w:pStyle w:val="InstructionsText2"/>
        <w:numPr>
          <w:ilvl w:val="0"/>
          <w:numId w:val="29"/>
        </w:numPr>
        <w:suppressAutoHyphens/>
      </w:pPr>
      <w:r>
        <w:t>W przedmiotowym wzorze należy przedstawić informacje o pozycjach i odpowiednich wymogach w zakresie funduszy własnych dotyczących ryzyka pozycji związanego z instrumentami kapitałowymi przechowywanymi w portfelu handlowym i ujmowanych zgodnie z metodą standardową.</w:t>
      </w:r>
    </w:p>
    <w:p w14:paraId="3AF5EC7C" w14:textId="570FEDBA" w:rsidR="00B828CC" w:rsidRPr="002D60D7" w:rsidRDefault="000B0B09" w:rsidP="00E172EA">
      <w:pPr>
        <w:pStyle w:val="InstructionsText2"/>
        <w:numPr>
          <w:ilvl w:val="0"/>
          <w:numId w:val="29"/>
        </w:numPr>
        <w:suppressAutoHyphens/>
      </w:pPr>
      <w:r>
        <w:t>Ten wzór należy wypełnić osobno w odniesieniu do wartości łącznej, kolejny wzór wypełnia się dla stałej, wcześniej ustalonej listy następujących rynków: Bułgaria, Republika Czeska, Dania, Egipt, Węgry, Islandia, Liechtenstein, Norwegia, Polska, Rumunia, Szwecja, Zjednoczone Królestwo, Albania, Japonia, była jugosłowiańska republika Macedonii, Federacja Rosyjska, Serbia, Szwajcaria, Turcja, Ukraina, Stany Zjednoczone Ameryki, strefa euro oraz jeden rezydualny wzór dla wszystkich pozostałych rynków. Do celów niniejszego obowiązku sprawozdawczego termin „rynek” oznacza „państwo” (z wyjątkiem państw należących do strefy euro, zob. rozporządzenie delegowane Komisji (UE) nr 525/2014</w:t>
      </w:r>
      <w:r>
        <w:rPr>
          <w:rStyle w:val="FootnoteReference"/>
        </w:rPr>
        <w:footnoteReference w:id="2"/>
      </w:r>
      <w:r>
        <w:t>).</w:t>
      </w:r>
    </w:p>
    <w:p w14:paraId="077E1A41" w14:textId="7E9E2DA4"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8" w:name="_Toc262566431"/>
      <w:bookmarkStart w:id="109" w:name="_Toc295830007"/>
      <w:bookmarkStart w:id="110" w:name="_Toc308426684"/>
      <w:bookmarkStart w:id="111" w:name="_Toc310415068"/>
      <w:bookmarkStart w:id="112" w:name="_Toc360188403"/>
      <w:bookmarkStart w:id="113" w:name="_Toc473561043"/>
      <w:bookmarkStart w:id="114" w:name="_Toc210908831"/>
      <w:r>
        <w:rPr>
          <w:rFonts w:ascii="Times New Roman" w:hAnsi="Times New Roman"/>
          <w:sz w:val="24"/>
          <w:u w:val="none"/>
        </w:rPr>
        <w:t>5.2.</w:t>
      </w:r>
      <w:r>
        <w:tab/>
      </w:r>
      <w:r>
        <w:rPr>
          <w:rFonts w:ascii="Times New Roman" w:hAnsi="Times New Roman"/>
          <w:sz w:val="24"/>
        </w:rPr>
        <w:t>Instrukcje dotyczące poszczególnych pozycji</w:t>
      </w:r>
      <w:bookmarkEnd w:id="108"/>
      <w:bookmarkEnd w:id="109"/>
      <w:bookmarkEnd w:id="110"/>
      <w:bookmarkEnd w:id="111"/>
      <w:bookmarkEnd w:id="112"/>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2ADAFC61" w14:textId="77777777" w:rsidTr="00672D2A">
        <w:trPr>
          <w:trHeight w:val="626"/>
        </w:trPr>
        <w:tc>
          <w:tcPr>
            <w:tcW w:w="8862" w:type="dxa"/>
            <w:gridSpan w:val="2"/>
            <w:shd w:val="clear" w:color="auto" w:fill="CCCCCC"/>
          </w:tcPr>
          <w:p w14:paraId="0BC1F4DA"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Kolumny</w:t>
            </w:r>
          </w:p>
        </w:tc>
      </w:tr>
      <w:tr w:rsidR="000B0B09" w:rsidRPr="002D60D7" w14:paraId="1B6DCA2D" w14:textId="77777777" w:rsidTr="00672D2A">
        <w:tc>
          <w:tcPr>
            <w:tcW w:w="988" w:type="dxa"/>
          </w:tcPr>
          <w:p w14:paraId="2E10DD0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b/>
                <w:sz w:val="24"/>
                <w:u w:val="single"/>
              </w:rPr>
              <w:t>WSZYSTKIE POZYCJE (DŁUGIE I KRÓTKIE)</w:t>
            </w:r>
          </w:p>
          <w:p w14:paraId="754457ED" w14:textId="6411188D"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Art. 102 i art. 105 ust. 1 rozporządzenia (UE) nr 575/2013. </w:t>
            </w:r>
          </w:p>
          <w:p w14:paraId="59EE061F" w14:textId="31066C7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Są to pozycje brutto nieskompensowane przez instrumenty, lecz z wyłączeniem pozycji z tytułu gwarantowania emisji, które są subskrybowane lub regwarantowane przez osoby trzecie, o których to pozycjach mowa w art. 345 ust. 1 akapit pierwszy zdanie drugie tego rozporządzenia. </w:t>
            </w:r>
          </w:p>
        </w:tc>
      </w:tr>
      <w:tr w:rsidR="000B0B09" w:rsidRPr="002D60D7" w14:paraId="518A8218" w14:textId="77777777" w:rsidTr="00672D2A">
        <w:tc>
          <w:tcPr>
            <w:tcW w:w="988" w:type="dxa"/>
          </w:tcPr>
          <w:p w14:paraId="5DF1DDF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NETTO (DŁUGIE I KRÓTKIE)</w:t>
            </w:r>
          </w:p>
          <w:p w14:paraId="72A57BC7" w14:textId="1B6E0BBC"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Art. 327, 329, 332, 341 i 345 rozporządzenia (UE) nr 575/2013. </w:t>
            </w:r>
          </w:p>
        </w:tc>
      </w:tr>
      <w:tr w:rsidR="000B0B09" w:rsidRPr="002D60D7" w14:paraId="1ED40A34" w14:textId="77777777" w:rsidTr="00672D2A">
        <w:tc>
          <w:tcPr>
            <w:tcW w:w="988" w:type="dxa"/>
          </w:tcPr>
          <w:p w14:paraId="49ADB5D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D60D7" w:rsidRDefault="000B0B09" w:rsidP="004C445F">
            <w:pPr>
              <w:tabs>
                <w:tab w:val="left" w:pos="579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PODLEGAJĄCE NARZUTOWI KAPITAŁOWEMU</w:t>
            </w:r>
          </w:p>
          <w:p w14:paraId="5B62E698" w14:textId="1711E988"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Te pozycje netto, które zgodnie z różnymi metodami uwzględnionymi w części trzeciej tytuł IV rozdział 2 rozporządzenia (UE) nr 575/2013 otrzymują narzut kapitałowy. Narzut kapitałowy należy obliczyć osobno dla każdego rynku krajowego. W tej kolumnie nie uwzględnia się pozycji w terminowych kontraktach na indeksy giełdowe, o których mowa w art. 344 ust. 4 zdanie drugie rozporządzenia (UE) nr 575/2013.</w:t>
            </w:r>
          </w:p>
          <w:p w14:paraId="7C352B8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7DD60D2" w14:textId="77777777" w:rsidTr="00672D2A">
        <w:tc>
          <w:tcPr>
            <w:tcW w:w="988" w:type="dxa"/>
          </w:tcPr>
          <w:p w14:paraId="479821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WYMOGI W ZAKRESIE FUNDUSZY WŁASNYCH</w:t>
            </w:r>
          </w:p>
          <w:p w14:paraId="75CDA27D" w14:textId="087571B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lastRenderedPageBreak/>
              <w:t>Wymóg w zakresie funduszy własnych, zgodnie z częścią trzecią tytuł IV rozdział 2 rozporządzenia (UE) nr 575/2013 w odniesieniu do każdej stosownej pozycji.</w:t>
            </w:r>
          </w:p>
          <w:p w14:paraId="6CDF917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2F4C373" w14:textId="77777777" w:rsidTr="00672D2A">
        <w:tc>
          <w:tcPr>
            <w:tcW w:w="988" w:type="dxa"/>
          </w:tcPr>
          <w:p w14:paraId="62D82E3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74" w:type="dxa"/>
          </w:tcPr>
          <w:p w14:paraId="1A727463"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ŁĄCZNA KWOTA EKSPOZYCJI NA RYZYKO</w:t>
            </w:r>
          </w:p>
          <w:p w14:paraId="33E7C378" w14:textId="4FC9A55B" w:rsidR="00E64BFE" w:rsidRPr="002D60D7" w:rsidRDefault="000B0B09" w:rsidP="004C445F">
            <w:pPr>
              <w:tabs>
                <w:tab w:val="left" w:pos="1665"/>
              </w:tabs>
              <w:suppressAutoHyphens/>
              <w:autoSpaceDE w:val="0"/>
              <w:autoSpaceDN w:val="0"/>
              <w:adjustRightInd w:val="0"/>
              <w:spacing w:after="0"/>
              <w:rPr>
                <w:rFonts w:ascii="Times New Roman" w:hAnsi="Times New Roman"/>
                <w:sz w:val="24"/>
              </w:rPr>
            </w:pPr>
            <w:r>
              <w:rPr>
                <w:rFonts w:ascii="Times New Roman" w:hAnsi="Times New Roman"/>
                <w:sz w:val="24"/>
              </w:rPr>
              <w:t xml:space="preserve">Art. 92 ust. 6 lit. b) rozporządzenia (UE) nr 575/2013. </w:t>
            </w:r>
          </w:p>
          <w:p w14:paraId="5D42B3B3" w14:textId="77777777"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 xml:space="preserve">Wynik pomnożenia wymogów w zakresie funduszy własnych przez 12,5. </w:t>
            </w:r>
          </w:p>
        </w:tc>
      </w:tr>
    </w:tbl>
    <w:p w14:paraId="62FB026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2D60D7" w14:paraId="4775591D" w14:textId="77777777" w:rsidTr="00672D2A">
        <w:trPr>
          <w:trHeight w:val="662"/>
        </w:trPr>
        <w:tc>
          <w:tcPr>
            <w:tcW w:w="9212" w:type="dxa"/>
            <w:gridSpan w:val="2"/>
            <w:shd w:val="clear" w:color="auto" w:fill="CCCCCC"/>
          </w:tcPr>
          <w:p w14:paraId="5298B570"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Wiersze</w:t>
            </w:r>
          </w:p>
        </w:tc>
      </w:tr>
      <w:tr w:rsidR="000B0B09" w:rsidRPr="002D60D7" w14:paraId="7546B05C" w14:textId="77777777" w:rsidTr="00672D2A">
        <w:tc>
          <w:tcPr>
            <w:tcW w:w="1008" w:type="dxa"/>
          </w:tcPr>
          <w:p w14:paraId="7BE875B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INSTRUMENTY KAPITAŁOWE W PORTFELU HANDLOWYM</w:t>
            </w:r>
          </w:p>
          <w:p w14:paraId="030F1935" w14:textId="785DC9DE"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Wymogi w zakresie funduszy własnych w odniesieniu do ryzyka pozycji zgodnie z art. 92 ust. 3 lit. b) pkt (i) rozporządzenia (UE) nr 575/2013 i częścią trzecią tytuł IV rozdział 2 sekcja 3 tego rozporządzenia.</w:t>
            </w:r>
          </w:p>
        </w:tc>
      </w:tr>
      <w:tr w:rsidR="000B0B09" w:rsidRPr="002D60D7" w14:paraId="06FCC7F1" w14:textId="77777777" w:rsidTr="00672D2A">
        <w:tc>
          <w:tcPr>
            <w:tcW w:w="1008" w:type="dxa"/>
          </w:tcPr>
          <w:p w14:paraId="33E8BCC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RYZYKO OGÓLNE</w:t>
            </w:r>
          </w:p>
          <w:p w14:paraId="21F94335" w14:textId="41165158"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Pozycje instrumentów kapitałowych podlegające ryzyku ogólnemu (art. 343 rozporządzenia (UE) nr 575/2013) oraz odpowiadający im wymóg w zakresie funduszy własnych zgodnie z częścią trzecią tytuł IV rozdział 2 sekcja 3 tego rozporządzenia. </w:t>
            </w:r>
          </w:p>
          <w:p w14:paraId="729400AD" w14:textId="77777777" w:rsidR="001E0C8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Obydwa podziały (wiersze 0021/0022, a także wiersze 0030/0040) są podziałami związanymi ze wszystkimi pozycjami podlegającymi ryzyku ogólnemu.</w:t>
            </w:r>
          </w:p>
          <w:p w14:paraId="32EAD513" w14:textId="77777777" w:rsidR="004E2725"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W wierszach 0021 i 0022 należy przedstawić informacje na temat podziału według instrumentów. </w:t>
            </w:r>
          </w:p>
          <w:p w14:paraId="75FD06DA" w14:textId="77777777"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Jako podstawę obliczania wymogów w zakresie funduszy własnych wykorzystuje się wyłącznie podział przeprowadzony w wierszach 0030 i 0040.</w:t>
            </w:r>
          </w:p>
        </w:tc>
      </w:tr>
      <w:tr w:rsidR="000B0B09" w:rsidRPr="002D60D7" w14:paraId="7E2E7066" w14:textId="77777777" w:rsidTr="00672D2A">
        <w:tc>
          <w:tcPr>
            <w:tcW w:w="1008" w:type="dxa"/>
          </w:tcPr>
          <w:p w14:paraId="2A8F2E0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Instrumenty pochodne</w:t>
            </w:r>
          </w:p>
          <w:p w14:paraId="561EFF21" w14:textId="424FAD2D"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Instrumenty pochodne brane pod uwagę przy obliczaniu ryzyka związanego z inwestowaniem w akcje dotyczącego pozycji w portfelu handlowym, uwzględniając, w stosownych przypadkach, art. 329 i 332 rozporządzenia (UE) nr 575/2013.</w:t>
            </w:r>
          </w:p>
        </w:tc>
      </w:tr>
      <w:tr w:rsidR="000B0B09" w:rsidRPr="002D60D7" w14:paraId="70CC2A6A" w14:textId="77777777" w:rsidTr="00672D2A">
        <w:tc>
          <w:tcPr>
            <w:tcW w:w="1008" w:type="dxa"/>
          </w:tcPr>
          <w:p w14:paraId="569AE9F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Inne aktywa i zobowiązania</w:t>
            </w:r>
          </w:p>
          <w:p w14:paraId="21AC79DF"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Instrumenty inne niż instrumenty pochodne brane pod uwagę przy obliczaniu ryzyka związanego z inwestowaniem w akcje dotyczącego pozycji w portfelu handlowym. </w:t>
            </w:r>
          </w:p>
        </w:tc>
      </w:tr>
      <w:tr w:rsidR="000B0B09" w:rsidRPr="002D60D7" w14:paraId="2ECBC519" w14:textId="77777777" w:rsidTr="00672D2A">
        <w:tc>
          <w:tcPr>
            <w:tcW w:w="1008" w:type="dxa"/>
          </w:tcPr>
          <w:p w14:paraId="63840C82"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Kontrakty terminowe typu future na indeksy giełdowe o szerokim zróżnicowaniu, wymagające zastosowania metody szczególnej</w:t>
            </w:r>
          </w:p>
          <w:p w14:paraId="56A22316" w14:textId="77777777" w:rsidR="005C14B0"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Kontrakty terminowe typu future na indeksy giełdowe o szerokim zróżnicowaniu, wymagające zastosowania metody szczególnej, zgodnie z rozporządzeniem wykonawczym Komisji (UE) nr 945/2014</w:t>
            </w:r>
            <w:r>
              <w:rPr>
                <w:rStyle w:val="FootnoteReference"/>
              </w:rPr>
              <w:footnoteReference w:id="3"/>
            </w:r>
            <w:r>
              <w:rPr>
                <w:rFonts w:ascii="Times New Roman" w:hAnsi="Times New Roman"/>
                <w:sz w:val="24"/>
              </w:rPr>
              <w:t>.</w:t>
            </w:r>
          </w:p>
          <w:p w14:paraId="2528F1AA" w14:textId="103B7503"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lastRenderedPageBreak/>
              <w:t>Przedmiotowe pozycje są objęte wyłącznie ryzykiem ogólnym i w związku z tym nie należy ich zgłaszać w wierszu 0050.</w:t>
            </w:r>
          </w:p>
        </w:tc>
      </w:tr>
      <w:tr w:rsidR="000B0B09" w:rsidRPr="002D60D7" w14:paraId="132F7A31" w14:textId="77777777" w:rsidTr="00672D2A">
        <w:tc>
          <w:tcPr>
            <w:tcW w:w="1008" w:type="dxa"/>
          </w:tcPr>
          <w:p w14:paraId="5A552EB7"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8204" w:type="dxa"/>
          </w:tcPr>
          <w:p w14:paraId="10EE0C2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Instrumenty kapitałowe inne niż szeroko zróżnicowane kontrakty terminowe typu future na indeksy giełdowe</w:t>
            </w:r>
          </w:p>
          <w:p w14:paraId="17542C2D" w14:textId="5412BB06"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Inne pozycje instrumentów kapitałowych podlegające ryzyku szczególnemu oraz odpowiadające im wymogi w zakresie funduszy własnych zgodnie z art. 343 rozporządzenia (UE) nr 575/2013, w tym pozycje w terminowych kontraktach na indeksy giełdowe ujmowane zgodnie z art. 344 ust. 3 tego rozporządzenia.</w:t>
            </w:r>
          </w:p>
        </w:tc>
      </w:tr>
      <w:tr w:rsidR="000B0B09" w:rsidRPr="002D60D7" w14:paraId="10C7ACD9" w14:textId="77777777" w:rsidTr="00672D2A">
        <w:tc>
          <w:tcPr>
            <w:tcW w:w="1008" w:type="dxa"/>
          </w:tcPr>
          <w:p w14:paraId="1F6F53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RYZYKO SZCZEGÓLNE</w:t>
            </w:r>
          </w:p>
          <w:p w14:paraId="4CFFEA2D" w14:textId="693CE9A9"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Pozycje instrumentów kapitałowych podlegające ryzyku szczególnemu oraz odpowiadający im wymóg w zakresie funduszy własnych zgodnie z art. 342 rozporządzenia (UE) nr 575/2013, z wyłączeniem pozycji w terminowych kontraktach na indeksy giełdowe ujmowanych zgodnie z art. 344 ust. 4 zdanie drugie tego rozporządzenia. </w:t>
            </w:r>
          </w:p>
        </w:tc>
      </w:tr>
      <w:tr w:rsidR="000B0B09" w:rsidRPr="002D60D7" w14:paraId="63780725" w14:textId="77777777" w:rsidTr="00672D2A">
        <w:tc>
          <w:tcPr>
            <w:tcW w:w="1008" w:type="dxa"/>
          </w:tcPr>
          <w:p w14:paraId="573EB4E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DODATKOWE WYMOGI W ZAKRESIE OPCJI (RYZYKA INNE NIŻ RYZYKO DELTA)</w:t>
            </w:r>
          </w:p>
          <w:p w14:paraId="2552C107" w14:textId="66B48CCE"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Art. 329 ust. 2 i 3 rozporządzenia (UE) nr 575/2013. </w:t>
            </w:r>
          </w:p>
          <w:p w14:paraId="72C3FAC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Dodatkowe wymogi w zakresie opcji związane z ryzykami innymi niż ryzyko delta zgłasza się w metodzie stosowanej do obliczenia tego ryzyka.</w:t>
            </w:r>
          </w:p>
        </w:tc>
      </w:tr>
    </w:tbl>
    <w:p w14:paraId="0EB6FD79"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1D26B512" w14:textId="2E1A7FF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15" w:name="_Toc262566432"/>
      <w:bookmarkStart w:id="116" w:name="_Toc295830008"/>
      <w:bookmarkStart w:id="117" w:name="_Toc308426685"/>
      <w:bookmarkStart w:id="118" w:name="_Toc310415069"/>
      <w:bookmarkStart w:id="119" w:name="_Toc360188404"/>
      <w:bookmarkStart w:id="120" w:name="_Toc473561044"/>
      <w:bookmarkStart w:id="121" w:name="_Toc210908832"/>
      <w:r>
        <w:rPr>
          <w:rFonts w:ascii="Times New Roman" w:hAnsi="Times New Roman"/>
          <w:sz w:val="24"/>
          <w:u w:val="none"/>
        </w:rPr>
        <w:t>6.</w:t>
      </w:r>
      <w:r>
        <w:tab/>
      </w:r>
      <w:r>
        <w:rPr>
          <w:rFonts w:ascii="Times New Roman" w:hAnsi="Times New Roman"/>
          <w:sz w:val="24"/>
        </w:rPr>
        <w:t>C 22.00 – Ryzyko rynkowe: Ryzyko walutowe według metod standardowych</w:t>
      </w:r>
      <w:bookmarkEnd w:id="115"/>
      <w:bookmarkEnd w:id="116"/>
      <w:bookmarkEnd w:id="117"/>
      <w:bookmarkEnd w:id="118"/>
      <w:bookmarkEnd w:id="119"/>
      <w:r>
        <w:rPr>
          <w:rFonts w:ascii="Times New Roman" w:hAnsi="Times New Roman"/>
          <w:sz w:val="24"/>
        </w:rPr>
        <w:t xml:space="preserve"> (MKR SA FX)</w:t>
      </w:r>
      <w:bookmarkEnd w:id="120"/>
      <w:bookmarkEnd w:id="121"/>
    </w:p>
    <w:p w14:paraId="70FD2A29" w14:textId="503A292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22" w:name="_Toc262566433"/>
      <w:bookmarkStart w:id="123" w:name="_Toc295830009"/>
      <w:bookmarkStart w:id="124" w:name="_Toc308426686"/>
      <w:bookmarkStart w:id="125" w:name="_Toc310415070"/>
      <w:bookmarkStart w:id="126" w:name="_Toc360188405"/>
      <w:bookmarkStart w:id="127" w:name="_Toc473561045"/>
      <w:bookmarkStart w:id="128" w:name="_Toc210908833"/>
      <w:r>
        <w:rPr>
          <w:rFonts w:ascii="Times New Roman" w:hAnsi="Times New Roman"/>
          <w:sz w:val="24"/>
          <w:u w:val="none"/>
        </w:rPr>
        <w:t>6.1.</w:t>
      </w:r>
      <w:r>
        <w:tab/>
      </w:r>
      <w:r>
        <w:rPr>
          <w:rFonts w:ascii="Times New Roman" w:hAnsi="Times New Roman"/>
          <w:sz w:val="24"/>
        </w:rPr>
        <w:t>Uwagi ogólne</w:t>
      </w:r>
      <w:bookmarkEnd w:id="122"/>
      <w:bookmarkEnd w:id="123"/>
      <w:bookmarkEnd w:id="124"/>
      <w:bookmarkEnd w:id="125"/>
      <w:bookmarkEnd w:id="126"/>
      <w:bookmarkEnd w:id="127"/>
      <w:bookmarkEnd w:id="128"/>
    </w:p>
    <w:p w14:paraId="3B4750B2" w14:textId="2C7BE8FA" w:rsidR="00F71DF2" w:rsidRPr="002D60D7" w:rsidRDefault="00A807E1" w:rsidP="00E172EA">
      <w:pPr>
        <w:pStyle w:val="InstructionsText2"/>
        <w:numPr>
          <w:ilvl w:val="0"/>
          <w:numId w:val="29"/>
        </w:numPr>
        <w:suppressAutoHyphens/>
      </w:pPr>
      <w:r>
        <w:t>Firmy inwestycyjne zgłaszają informacje na temat pozycji we wszystkich walutach (łącznie z walutą sprawozdawczą) i odpowiednich wymogów w zakresie funduszy własnych z tytułu ryzyka walutowego traktowanych zgodnie z metodą standardową. Pozycję oblicza się w odniesieniu do wszystkich walut (w tym EUR), złota i pozycji w przedsiębiorstwach zbiorowego inwestowania.</w:t>
      </w:r>
    </w:p>
    <w:p w14:paraId="39EF826C" w14:textId="60814CC7" w:rsidR="000B0B09" w:rsidRPr="002D60D7" w:rsidRDefault="00B31D8A" w:rsidP="00E172EA">
      <w:pPr>
        <w:pStyle w:val="InstructionsText2"/>
        <w:numPr>
          <w:ilvl w:val="0"/>
          <w:numId w:val="29"/>
        </w:numPr>
        <w:suppressAutoHyphens/>
      </w:pPr>
      <w:r>
        <w:t>Wiersze 0100–0470 tego wzoru podlegają zgłoszeniu, jeżeli firmy inwestycyjne posiadają zezwolenie na prowadzenie działalności 3 lub 6 określonej w sekcji A załącznika I do dyrektywy Parlamentu Europejskiego i Rady 2014/65/UE</w:t>
      </w:r>
      <w:r>
        <w:rPr>
          <w:rStyle w:val="FootnoteReference"/>
        </w:rPr>
        <w:footnoteReference w:id="4"/>
      </w:r>
      <w:r>
        <w:t xml:space="preserve">, nawet wówczas, gdy te firmy inwestycyjne nie mają obowiązku obliczać wymogów w zakresie funduszy własnych z tytułu ryzyka walutowego zgodnie z art. 351 rozporządzenia (UE) nr 575/2013. W tych pozycjach uzupełniających wszystkie pozycje w walucie sprawozdawczej zawarte są w wierszach 0100–0470, niezależnie od tego, czy są one uwzględniane do celów art. 354 rozporządzenia (UE) nr 575/2013. Wiersze 0130–0470 pozycji uzupełniających tego wzoru wypełnia się osobno w odniesieniu do wszystkich walut państw członkowskich Unii, walut: GBP, USD, CHF, JPY, RUB, TRY, AUD, CAD, RSD, ALL, UAH, </w:t>
      </w:r>
      <w:r>
        <w:lastRenderedPageBreak/>
        <w:t>MKD, EGP, ARS, BRL, MXN, HKD, ICK, TWD, NZD, NOK, SGD, KRW, CNY i wszystkich pozostałych walut.</w:t>
      </w:r>
    </w:p>
    <w:p w14:paraId="346B4732" w14:textId="0BDCE786"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0" w:name="_Toc262566434"/>
      <w:bookmarkStart w:id="131" w:name="_Toc295830010"/>
      <w:bookmarkStart w:id="132" w:name="_Toc308426687"/>
      <w:bookmarkStart w:id="133" w:name="_Toc310415071"/>
      <w:bookmarkStart w:id="134" w:name="_Toc360188406"/>
      <w:bookmarkStart w:id="135" w:name="_Toc473561046"/>
      <w:bookmarkStart w:id="136" w:name="_Toc210908834"/>
      <w:r>
        <w:rPr>
          <w:rFonts w:ascii="Times New Roman" w:hAnsi="Times New Roman"/>
          <w:sz w:val="24"/>
          <w:u w:val="none"/>
        </w:rPr>
        <w:t>6.2.</w:t>
      </w:r>
      <w:r>
        <w:tab/>
      </w:r>
      <w:r>
        <w:rPr>
          <w:rFonts w:ascii="Times New Roman" w:hAnsi="Times New Roman"/>
          <w:sz w:val="24"/>
        </w:rPr>
        <w:t>Instrukcje dotyczące poszczególnych pozycji</w:t>
      </w:r>
      <w:bookmarkEnd w:id="130"/>
      <w:bookmarkEnd w:id="131"/>
      <w:bookmarkEnd w:id="132"/>
      <w:bookmarkEnd w:id="133"/>
      <w:bookmarkEnd w:id="134"/>
      <w:bookmarkEnd w:id="135"/>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49DEFDC7" w14:textId="77777777" w:rsidTr="00672D2A">
        <w:trPr>
          <w:trHeight w:val="595"/>
        </w:trPr>
        <w:tc>
          <w:tcPr>
            <w:tcW w:w="8862" w:type="dxa"/>
            <w:gridSpan w:val="2"/>
            <w:shd w:val="clear" w:color="auto" w:fill="CCCCCC"/>
          </w:tcPr>
          <w:p w14:paraId="12971A7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Kolumny</w:t>
            </w:r>
          </w:p>
        </w:tc>
      </w:tr>
      <w:tr w:rsidR="000B0B09" w:rsidRPr="002D60D7" w14:paraId="159B4B41" w14:textId="77777777" w:rsidTr="00672D2A">
        <w:tc>
          <w:tcPr>
            <w:tcW w:w="988" w:type="dxa"/>
          </w:tcPr>
          <w:p w14:paraId="0ABA9E2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WSZYSTKIE POZYCJE (DŁUGIE I KRÓTKIE)</w:t>
            </w:r>
          </w:p>
          <w:p w14:paraId="21CD617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5F204D98" w14:textId="7206E339"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Pozycje brutto z tytułu aktywów, kwoty do otrzymania i podobne pozycje, o których mowa w art. 352 ust. 1 rozporządzenia (UE) nr 575/2013.</w:t>
            </w:r>
          </w:p>
          <w:p w14:paraId="754DB1BB" w14:textId="2FEAA29E" w:rsidR="000B0B09" w:rsidRPr="002D60D7" w:rsidRDefault="00BB22D4"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Zgodnie z art. 352 ust. 2 rozporządzenia (UE) nr 575/2013 i z zastrzeżeniem uzyskania zezwolenia właściwych organów, nie zgłasza się utrzymywanych pozycji zabezpieczających przed niekorzystnym wpływem kursów walutowych na współczynniki zgodnie z art. 92 ust. 1 tego rozporządzenia ani pozycji dotyczących kwot, które już odjęto podczas obliczania funduszy własnych.</w:t>
            </w:r>
          </w:p>
          <w:p w14:paraId="40A85A4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5B6C2519" w14:textId="77777777" w:rsidTr="00672D2A">
        <w:tc>
          <w:tcPr>
            <w:tcW w:w="988" w:type="dxa"/>
          </w:tcPr>
          <w:p w14:paraId="01A2B5B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NETTO (DŁUGIE I KRÓTKIE)</w:t>
            </w:r>
          </w:p>
          <w:p w14:paraId="5D5BCFB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63D2EB9" w14:textId="110C5AF2" w:rsidR="00283B5F"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Art. 352 ust. 3, art. 352 ust. 4 dwa pierwsze zdania oraz art. 353 rozporządzenia (UE) nr 575/2013.</w:t>
            </w:r>
          </w:p>
          <w:p w14:paraId="1436375E" w14:textId="14467FBC"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Pozycje netto oblicza się we wszystkich walutach, zgodnie z art. 352 ust. 1 tego rozporządzenia. W związku z tym zarówno pozycje długie, jak i krótkie można zgłaszać w tym samym czasie.</w:t>
            </w:r>
          </w:p>
          <w:p w14:paraId="7EF6C18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1DBF3F98" w14:textId="77777777" w:rsidTr="00672D2A">
        <w:tc>
          <w:tcPr>
            <w:tcW w:w="988" w:type="dxa"/>
          </w:tcPr>
          <w:p w14:paraId="5ED8190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PODLEGAJĄCE NARZUTOWI KAPITAŁOWEMU</w:t>
            </w:r>
          </w:p>
          <w:p w14:paraId="536B211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4FE1162B" w14:textId="273CC04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 352 ust. 4 zdanie trzecie oraz art. 353 i 354 rozporządzenia (UE) nr 575/2013. </w:t>
            </w:r>
          </w:p>
          <w:p w14:paraId="091C4CE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E36B34" w14:textId="77777777" w:rsidTr="00672D2A">
        <w:tc>
          <w:tcPr>
            <w:tcW w:w="988" w:type="dxa"/>
          </w:tcPr>
          <w:p w14:paraId="4CF75F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POZYCJE PODLEGAJĄCE NARZUTOWI KAPITAŁOWEMU (DŁUGIE I KRÓTKIE)</w:t>
            </w:r>
          </w:p>
          <w:p w14:paraId="1CA17503"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Długie i krótkie pozycje netto dla każdej waluty oblicza się poprzez odjęcie sumy pozycji krótkich od sumy pozycji długich.</w:t>
            </w:r>
          </w:p>
          <w:p w14:paraId="7912A4F1"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Długie pozycje netto w odniesieniu do wszystkich transakcji walutowych dodaje się w celu uzyskania długiej pozycji netto w danej walucie.</w:t>
            </w:r>
          </w:p>
          <w:p w14:paraId="5B4E9BD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Krótkie pozycje netto w odniesieniu do wszystkich transakcji walutowych dodaje się w celu uzyskania krótkiej pozycji netto w danej walucie.</w:t>
            </w:r>
          </w:p>
          <w:p w14:paraId="71BEB09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Pozycje niedopasowane w walutach innych niż waluty sprawozdawcze dodaje się do pozycji podlegających narzutowi kapitałowemu w odniesieniu do pozostałych walut (wiersz 030) w kolumnie 060 lub 070 w zależności od ich przyporządkowania do krótkich lub długich pozycji.</w:t>
            </w:r>
          </w:p>
          <w:p w14:paraId="3B8AB235"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53E3368" w14:textId="77777777" w:rsidTr="00672D2A">
        <w:tc>
          <w:tcPr>
            <w:tcW w:w="988" w:type="dxa"/>
          </w:tcPr>
          <w:p w14:paraId="79947C7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PODLEGAJĄCE NARZUTOWI KAPITAŁOWEMU (DOPASOWANE)</w:t>
            </w:r>
          </w:p>
          <w:p w14:paraId="1787EA62"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5437627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Pozycje dopasowane w odniesieniu do walut silnie ze sobą skorelowanych.</w:t>
            </w:r>
          </w:p>
          <w:p w14:paraId="6BC8E67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E3750E4" w14:textId="77777777" w:rsidTr="00672D2A">
        <w:tc>
          <w:tcPr>
            <w:tcW w:w="988" w:type="dxa"/>
          </w:tcPr>
          <w:p w14:paraId="0E46DE0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0090</w:t>
            </w:r>
          </w:p>
        </w:tc>
        <w:tc>
          <w:tcPr>
            <w:tcW w:w="7874" w:type="dxa"/>
          </w:tcPr>
          <w:p w14:paraId="4FC12DD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WYMOGI W ZAKRESIE FUNDUSZY WŁASNYCH</w:t>
            </w:r>
          </w:p>
          <w:p w14:paraId="4108E69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828234" w14:textId="7D891B7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Narzut kapitałowy w odniesieniu do wszelkich stosownych pozycji, zgodnie z częścią trzecią tytuł IV rozdział 3 rozporządzenia (UE) nr 575/2013. </w:t>
            </w:r>
          </w:p>
          <w:p w14:paraId="62C9AE7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5A4CD35" w14:textId="77777777" w:rsidTr="00672D2A">
        <w:tc>
          <w:tcPr>
            <w:tcW w:w="988" w:type="dxa"/>
          </w:tcPr>
          <w:p w14:paraId="5B271B1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ŁĄCZNA KWOTA EKSPOZYCJI NA RYZYKO</w:t>
            </w:r>
          </w:p>
          <w:p w14:paraId="1005789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3CF09645" w14:textId="05D9758B" w:rsidR="005C14B0"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Art. 92 ust. 6 lit. b) rozporządzenia (UE) nr 575/2013.</w:t>
            </w:r>
          </w:p>
          <w:p w14:paraId="74C1A53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Wynik pomnożenia wymogów w zakresie funduszy własnych przez 12,5. </w:t>
            </w:r>
          </w:p>
          <w:p w14:paraId="43ECFCA3" w14:textId="77777777" w:rsidR="00DE48EF" w:rsidRPr="002D60D7" w:rsidRDefault="00DE48EF"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D60D7" w14:paraId="0291DB10" w14:textId="77777777" w:rsidTr="00672D2A">
        <w:trPr>
          <w:trHeight w:val="497"/>
        </w:trPr>
        <w:tc>
          <w:tcPr>
            <w:tcW w:w="8862" w:type="dxa"/>
            <w:gridSpan w:val="2"/>
            <w:shd w:val="clear" w:color="auto" w:fill="CCCCCC"/>
          </w:tcPr>
          <w:p w14:paraId="080D5566"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Wiersze</w:t>
            </w:r>
          </w:p>
        </w:tc>
      </w:tr>
      <w:tr w:rsidR="000B0B09" w:rsidRPr="002D60D7" w14:paraId="7E8F93AD" w14:textId="77777777" w:rsidTr="00672D2A">
        <w:tc>
          <w:tcPr>
            <w:tcW w:w="991" w:type="dxa"/>
          </w:tcPr>
          <w:p w14:paraId="308DA05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RAZEM</w:t>
            </w:r>
          </w:p>
          <w:p w14:paraId="625A8F9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74297D9" w14:textId="78AA241E" w:rsidR="000B0B09"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Wszystkie pozycje w walutach innych niż waluty sprawozdawcze oraz te pozycje w walucie sprawozdawczej, które są uwzględniane do celów art. 354 rozporządzenia (UE) nr 575/2013, oraz ich odpowiednie wymogi w zakresie funduszy własnych z tytułu ryzyka walutowego, o których mowa w art. 92 ust. 3 lit. c) pkt (i) tego rozporządzenia, uwzględniając art. 352 ust. 2 i 4 rozporządzenia (UE) nr 575/2013 (do celów przeliczenia na walutę sprawozdawczą).</w:t>
            </w:r>
          </w:p>
          <w:p w14:paraId="60C8486E"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467D9D0D" w14:textId="77777777" w:rsidTr="00672D2A">
        <w:tc>
          <w:tcPr>
            <w:tcW w:w="991" w:type="dxa"/>
          </w:tcPr>
          <w:p w14:paraId="65214D6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WALUTY SILNIE ZE SOBĄ SKORELOWANE</w:t>
            </w:r>
          </w:p>
          <w:p w14:paraId="784B138D"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339F996" w14:textId="323891C1"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Pozycje i ich odpowiednie wymogi w zakresie funduszy własnych w odniesieniu do walut silnie ze sobą skorelowanych, o których mowa w art. 354 rozporządzenia (UE) nr 575/2013.</w:t>
            </w:r>
          </w:p>
          <w:p w14:paraId="1228E8F4"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491F4D" w:rsidRPr="002D60D7" w14:paraId="6BD5BA15" w14:textId="77777777" w:rsidTr="00672D2A">
        <w:tc>
          <w:tcPr>
            <w:tcW w:w="991" w:type="dxa"/>
          </w:tcPr>
          <w:p w14:paraId="5BFECF57" w14:textId="77777777" w:rsidR="00491F4D"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Waluty silnie ze sobą skorelowane: </w:t>
            </w:r>
            <w:r>
              <w:rPr>
                <w:rFonts w:ascii="Times New Roman" w:hAnsi="Times New Roman"/>
                <w:b/>
                <w:i/>
                <w:sz w:val="24"/>
                <w:u w:val="single"/>
              </w:rPr>
              <w:t>w tym</w:t>
            </w:r>
            <w:r>
              <w:rPr>
                <w:rFonts w:ascii="Times New Roman" w:hAnsi="Times New Roman"/>
                <w:b/>
                <w:sz w:val="24"/>
                <w:u w:val="single"/>
              </w:rPr>
              <w:t>: waluta sprawozdawcza</w:t>
            </w:r>
          </w:p>
          <w:p w14:paraId="1A313604" w14:textId="77777777" w:rsidR="00491F4D" w:rsidRPr="002D60D7" w:rsidRDefault="00491F4D" w:rsidP="004C445F">
            <w:pPr>
              <w:suppressAutoHyphens/>
              <w:autoSpaceDE w:val="0"/>
              <w:autoSpaceDN w:val="0"/>
              <w:adjustRightInd w:val="0"/>
              <w:spacing w:before="0" w:after="0"/>
              <w:rPr>
                <w:rFonts w:ascii="Times New Roman" w:hAnsi="Times New Roman"/>
                <w:sz w:val="24"/>
              </w:rPr>
            </w:pPr>
          </w:p>
          <w:p w14:paraId="6CF1E695" w14:textId="3B11B1C0" w:rsidR="00491F4D"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Pozycje w walucie sprawozdawczej, które są uwzględniane przy obliczaniu wymogów kapitałowych zgodnie z art. 354 rozporządzenia (UE) nr 575/2013.</w:t>
            </w:r>
          </w:p>
          <w:p w14:paraId="1727C5A3"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A3FAA7" w14:textId="77777777" w:rsidTr="00672D2A">
        <w:tc>
          <w:tcPr>
            <w:tcW w:w="991" w:type="dxa"/>
          </w:tcPr>
          <w:p w14:paraId="015096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WSZELKIE INNE WALUTY (w tym przedsiębiorstwa zbiorowego inwestowania traktowane jako inne waluty)</w:t>
            </w:r>
          </w:p>
          <w:p w14:paraId="1677D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D3AFD1" w14:textId="4128E68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Pozycje i ich odpowiednie wymogi w zakresie funduszy własnych w odniesieniu do walut podlegających procedurze ogólnej, o której mowa w art. 351 i art. 352 ust. 2 i 4 rozporządzenia (UE) nr 575/2013.</w:t>
            </w:r>
          </w:p>
          <w:p w14:paraId="0D0C93F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69470C9" w14:textId="2C612C05"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u w:val="single"/>
              </w:rPr>
              <w:t>Zgłaszanie przedsiębiorstw zbiorowego inwestowania traktowanych jako osobne waluty zgodnie z art. 353 rozporządzenia (UE) nr 575/2013:</w:t>
            </w:r>
          </w:p>
          <w:p w14:paraId="77B7A43F" w14:textId="77777777" w:rsidR="000B0B09" w:rsidRPr="002D60D7" w:rsidRDefault="000B0B09"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Istnieją dwa różne sposoby ujęcia przedsiębiorstw zbiorowego inwestowania traktowanych jako osobne waluty w celu obliczenia wymogów kapitałowych:</w:t>
            </w:r>
          </w:p>
          <w:p w14:paraId="5B250982" w14:textId="5A8D3F48"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 xml:space="preserve">a) zmodyfikowana metoda ujęcia złota, jeżeli kierunek inwestycji przedsiębiorstw zbiorowego inwestowania jest niedostępny </w:t>
            </w:r>
            <w:r>
              <w:rPr>
                <w:rFonts w:ascii="Times New Roman" w:hAnsi="Times New Roman"/>
                <w:sz w:val="24"/>
              </w:rPr>
              <w:lastRenderedPageBreak/>
              <w:t>(przedsiębiorstwa te dodaje się do całkowitej pozycji walutowej netto instytucji);</w:t>
            </w:r>
          </w:p>
          <w:p w14:paraId="36EAAD8C" w14:textId="570B6ECE"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b) jeżeli dostępny jest kierunek inwestycji przedsiębiorstw zbiorowego inwestowania, przedsiębiorstwa te dodaje się do łącznej otwartej pozycji walutowej (długiej lub krótkiej, w zależności od kierunku przedsiębiorstwa zbiorowego inwestowania).</w:t>
            </w:r>
          </w:p>
          <w:p w14:paraId="6410AE39" w14:textId="77777777"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rPr>
              <w:t>Zgłoszenie tych przedsiębiorstw zbiorowego inwestowania następuje po obliczeniu wymogów kapitałowych.</w:t>
            </w:r>
          </w:p>
          <w:p w14:paraId="6EF89CCB"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3074F2FD" w14:textId="77777777" w:rsidTr="00672D2A">
        <w:tc>
          <w:tcPr>
            <w:tcW w:w="991" w:type="dxa"/>
          </w:tcPr>
          <w:p w14:paraId="77D3A98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71" w:type="dxa"/>
          </w:tcPr>
          <w:p w14:paraId="0E1B066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ZŁOTO</w:t>
            </w:r>
          </w:p>
          <w:p w14:paraId="3DD20C3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E2B6F8D" w14:textId="0A74E970"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Pozycje i ich odpowiednie wymogi w zakresie funduszy własnych w odniesieniu do walut podlegających procedurze ogólnej, o której mowa w art. 351 i art. 352 ust. 2 i 4 rozporządzenia (UE) nr 575/2013. </w:t>
            </w:r>
          </w:p>
          <w:p w14:paraId="2363385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6FC5B51" w14:textId="77777777" w:rsidTr="00672D2A">
        <w:tc>
          <w:tcPr>
            <w:tcW w:w="991" w:type="dxa"/>
          </w:tcPr>
          <w:p w14:paraId="119AB32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DODATKOWE WYMOGI W ZAKRESIE OPCJI (RYZYKA INNE NIŻ RYZYKO DELTA)</w:t>
            </w:r>
          </w:p>
          <w:p w14:paraId="409B80C0" w14:textId="3123C3E4"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 xml:space="preserve">Art. 352 ust. 5 i 6 rozporządzenia (UE) nr 575/2013. </w:t>
            </w:r>
          </w:p>
          <w:p w14:paraId="28A72F0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0C3DAE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Dodatkowe wymogi w zakresie opcji związane z ryzykami innymi niż ryzyko delta zgłasza się w podziale według metody stosowanej do ich obliczenia. </w:t>
            </w:r>
          </w:p>
          <w:p w14:paraId="64B10AE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FB6CAB6" w14:textId="77777777" w:rsidTr="00672D2A">
        <w:tc>
          <w:tcPr>
            <w:tcW w:w="991" w:type="dxa"/>
          </w:tcPr>
          <w:p w14:paraId="4A4827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Podział pozycji razem (w tym waluty sprawozdawczej) według rodzajów ekspozycji</w:t>
            </w:r>
          </w:p>
          <w:p w14:paraId="35F84DA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1C8EDD8"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Pozycje razem dzieli się na instrumenty pochodne, pozostałe aktywa i zobowiązania oraz pozycje pozabilansowe.</w:t>
            </w:r>
          </w:p>
          <w:p w14:paraId="645944F1"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2C3A573" w14:textId="77777777" w:rsidTr="00672D2A">
        <w:tc>
          <w:tcPr>
            <w:tcW w:w="991" w:type="dxa"/>
          </w:tcPr>
          <w:p w14:paraId="328B76F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Pozostałe aktywa i zobowiązania inne niż pozycje pozabilansowe i instrumenty pochodne</w:t>
            </w:r>
          </w:p>
          <w:p w14:paraId="70ABA94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48B1F95" w14:textId="77777777" w:rsidR="00DE48EF"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Pozycje, których nie uwzględniono w wierszu 0110 lub 0120, należy przedstawić tutaj. </w:t>
            </w:r>
          </w:p>
          <w:p w14:paraId="68474F8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D60D7" w14:paraId="68F25686" w14:textId="77777777" w:rsidTr="00672D2A">
        <w:tc>
          <w:tcPr>
            <w:tcW w:w="991" w:type="dxa"/>
          </w:tcPr>
          <w:p w14:paraId="76AEDC5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pozabilansowe</w:t>
            </w:r>
          </w:p>
          <w:p w14:paraId="4FE41A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7CE2DA10" w14:textId="441EBF45"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Pozycje objęte zakresem art. 352 rozporządzenia (UE) nr 575/2013, niezależnie od waluty, w której są denominowane, które uwzględniono w załączniku I do tego rozporządzenia, z wyjątkiem pozycji uwzględnionych jako transakcje finansowane z użyciem papierów wartościowych i transakcje z długim terminem rozliczenia oraz wynikające z umowy o kompensowaniu międzyproduktowym.</w:t>
            </w:r>
          </w:p>
          <w:p w14:paraId="25D49F5C"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C61B439" w14:textId="77777777" w:rsidTr="00672D2A">
        <w:tc>
          <w:tcPr>
            <w:tcW w:w="991" w:type="dxa"/>
          </w:tcPr>
          <w:p w14:paraId="33EE45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Instrumenty pochodne</w:t>
            </w:r>
          </w:p>
          <w:p w14:paraId="7B6CC85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74E14E9" w14:textId="61FBE98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Pozycje wyceniane zgodnie z art. 352 rozporządzenia (UE) nr 575/2013.</w:t>
            </w:r>
          </w:p>
          <w:p w14:paraId="2984F2C2" w14:textId="77777777" w:rsidR="00902EFC" w:rsidRPr="002D60D7" w:rsidRDefault="00902EFC"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D32A9CF" w14:textId="77777777" w:rsidTr="00672D2A">
        <w:tc>
          <w:tcPr>
            <w:tcW w:w="991" w:type="dxa"/>
          </w:tcPr>
          <w:p w14:paraId="7B4BCDF0" w14:textId="0459354E"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0130–0470</w:t>
            </w:r>
          </w:p>
        </w:tc>
        <w:tc>
          <w:tcPr>
            <w:tcW w:w="7871" w:type="dxa"/>
          </w:tcPr>
          <w:p w14:paraId="26286B4C" w14:textId="38433819"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POZYCJE UZUPEŁNIAJĄCE: POZYCJE WALUTOWE</w:t>
            </w:r>
          </w:p>
          <w:p w14:paraId="77A906DE" w14:textId="77777777" w:rsidR="000B0B09" w:rsidRPr="002D60D7" w:rsidRDefault="000B0B09" w:rsidP="004C445F">
            <w:pPr>
              <w:suppressAutoHyphens/>
              <w:autoSpaceDE w:val="0"/>
              <w:autoSpaceDN w:val="0"/>
              <w:adjustRightInd w:val="0"/>
              <w:spacing w:before="0" w:after="0"/>
              <w:rPr>
                <w:rFonts w:ascii="Times New Roman" w:hAnsi="Times New Roman"/>
                <w:b/>
                <w:bCs/>
                <w:sz w:val="24"/>
                <w:lang w:eastAsia="de-DE"/>
              </w:rPr>
            </w:pPr>
          </w:p>
          <w:p w14:paraId="31EAE6A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Pozycje uzupełniające tego wzoru należy wypełnić osobno w odniesieniu do wszystkich walut państw członkowskich Unii, GBP, USD, CHF, JPY, RUB, TRY, AUD, CAD, RSD, ALL, UAH, MKD, EGP, ARS, BRL, MXN, HKD, ICK, TWD, NZD, NOK, SGD, KRW, CNY i wszystkich pozostałych walut. </w:t>
            </w:r>
          </w:p>
          <w:p w14:paraId="09723CAF" w14:textId="77777777" w:rsidR="003E0950" w:rsidRPr="002D60D7" w:rsidRDefault="003E0950" w:rsidP="004C445F">
            <w:pPr>
              <w:suppressAutoHyphens/>
              <w:autoSpaceDE w:val="0"/>
              <w:autoSpaceDN w:val="0"/>
              <w:adjustRightInd w:val="0"/>
              <w:spacing w:before="0" w:after="0"/>
              <w:rPr>
                <w:rFonts w:ascii="Times New Roman" w:hAnsi="Times New Roman"/>
                <w:sz w:val="24"/>
                <w:lang w:eastAsia="de-DE"/>
              </w:rPr>
            </w:pPr>
          </w:p>
          <w:p w14:paraId="7255FEE1" w14:textId="50F8E32F" w:rsidR="00A433ED" w:rsidRPr="002D60D7" w:rsidRDefault="00A433E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W wierszu 0470 uwzględnia się pozycje w złocie i pozycje w przedsiębiorstwach zbiorowego inwestowania traktowanych jako osobne waluty zgodnie z art. 353 ust. 3 rozporządzenia (UE) nr 575/2013.</w:t>
            </w:r>
          </w:p>
          <w:p w14:paraId="2A795EB2" w14:textId="3FA18151" w:rsidR="0055144E" w:rsidRPr="002D60D7" w:rsidRDefault="0055144E" w:rsidP="004C445F">
            <w:pPr>
              <w:suppressAutoHyphens/>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D60D7" w:rsidRDefault="000B0B09" w:rsidP="004C445F">
      <w:pPr>
        <w:suppressAutoHyphens/>
        <w:rPr>
          <w:rFonts w:ascii="Times New Roman" w:hAnsi="Times New Roman"/>
          <w:sz w:val="24"/>
        </w:rPr>
      </w:pPr>
    </w:p>
    <w:p w14:paraId="53515718" w14:textId="54673A1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7" w:name="_Toc262566435"/>
      <w:bookmarkStart w:id="138" w:name="_Toc295830011"/>
      <w:bookmarkStart w:id="139" w:name="_Toc308426688"/>
      <w:bookmarkStart w:id="140" w:name="_Toc310415072"/>
      <w:bookmarkStart w:id="141" w:name="_Toc360188407"/>
      <w:bookmarkStart w:id="142" w:name="_Toc473561047"/>
      <w:bookmarkStart w:id="143" w:name="_Toc210908835"/>
      <w:r>
        <w:rPr>
          <w:rFonts w:ascii="Times New Roman" w:hAnsi="Times New Roman"/>
          <w:sz w:val="24"/>
          <w:u w:val="none"/>
        </w:rPr>
        <w:t>7.</w:t>
      </w:r>
      <w:r>
        <w:tab/>
      </w:r>
      <w:r>
        <w:rPr>
          <w:rFonts w:ascii="Times New Roman" w:hAnsi="Times New Roman"/>
          <w:sz w:val="24"/>
        </w:rPr>
        <w:t>C 23.00 – Ryzyko rynkowe: Ryzyko cen towarów według metod standardowych</w:t>
      </w:r>
      <w:bookmarkEnd w:id="137"/>
      <w:bookmarkEnd w:id="138"/>
      <w:bookmarkEnd w:id="139"/>
      <w:bookmarkEnd w:id="140"/>
      <w:bookmarkEnd w:id="141"/>
      <w:r>
        <w:rPr>
          <w:rFonts w:ascii="Times New Roman" w:hAnsi="Times New Roman"/>
          <w:sz w:val="24"/>
        </w:rPr>
        <w:t xml:space="preserve"> (MKR SA COM)</w:t>
      </w:r>
      <w:bookmarkEnd w:id="142"/>
      <w:bookmarkEnd w:id="143"/>
    </w:p>
    <w:p w14:paraId="72871AE4" w14:textId="0AF1A4E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44" w:name="_Toc262566436"/>
      <w:bookmarkStart w:id="145" w:name="_Toc295830012"/>
      <w:bookmarkStart w:id="146" w:name="_Toc308426689"/>
      <w:bookmarkStart w:id="147" w:name="_Toc310415073"/>
      <w:bookmarkStart w:id="148" w:name="_Toc360188408"/>
      <w:bookmarkStart w:id="149" w:name="_Toc473561048"/>
      <w:bookmarkStart w:id="150" w:name="_Toc210908836"/>
      <w:r>
        <w:rPr>
          <w:rFonts w:ascii="Times New Roman" w:hAnsi="Times New Roman"/>
          <w:sz w:val="24"/>
          <w:u w:val="none"/>
        </w:rPr>
        <w:t>7.1.</w:t>
      </w:r>
      <w:r>
        <w:tab/>
      </w:r>
      <w:r>
        <w:rPr>
          <w:rFonts w:ascii="Times New Roman" w:hAnsi="Times New Roman"/>
          <w:sz w:val="24"/>
        </w:rPr>
        <w:t>Uwagi ogólne</w:t>
      </w:r>
      <w:bookmarkEnd w:id="144"/>
      <w:bookmarkEnd w:id="145"/>
      <w:bookmarkEnd w:id="146"/>
      <w:bookmarkEnd w:id="147"/>
      <w:bookmarkEnd w:id="148"/>
      <w:bookmarkEnd w:id="149"/>
      <w:bookmarkEnd w:id="150"/>
    </w:p>
    <w:p w14:paraId="441FA19A" w14:textId="36832BFC" w:rsidR="000B0B09" w:rsidRPr="002D60D7" w:rsidRDefault="000B0B09" w:rsidP="00E172EA">
      <w:pPr>
        <w:pStyle w:val="InstructionsText2"/>
        <w:numPr>
          <w:ilvl w:val="0"/>
          <w:numId w:val="29"/>
        </w:numPr>
        <w:suppressAutoHyphens/>
      </w:pPr>
      <w:r>
        <w:t>Ten wzór wymaga podania informacji na temat pozycji w towarach i odpowiednich wymogów w zakresie funduszy własnych traktowanych zgodnie z metodą standardową.</w:t>
      </w:r>
    </w:p>
    <w:p w14:paraId="0C8765B1" w14:textId="613B31E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51" w:name="_Toc262566437"/>
      <w:bookmarkStart w:id="152" w:name="_Toc295830013"/>
      <w:bookmarkStart w:id="153" w:name="_Toc308426690"/>
      <w:bookmarkStart w:id="154" w:name="_Toc310415074"/>
      <w:bookmarkStart w:id="155" w:name="_Toc360188409"/>
      <w:bookmarkStart w:id="156" w:name="_Toc473561049"/>
      <w:bookmarkStart w:id="157" w:name="_Toc210908837"/>
      <w:r>
        <w:rPr>
          <w:rFonts w:ascii="Times New Roman" w:hAnsi="Times New Roman"/>
          <w:sz w:val="24"/>
          <w:u w:val="none"/>
        </w:rPr>
        <w:t>7.2.</w:t>
      </w:r>
      <w:r>
        <w:tab/>
      </w:r>
      <w:r>
        <w:rPr>
          <w:rFonts w:ascii="Times New Roman" w:hAnsi="Times New Roman"/>
          <w:sz w:val="24"/>
        </w:rPr>
        <w:t>Instrukcje dotyczące poszczególnych pozycji</w:t>
      </w:r>
      <w:bookmarkEnd w:id="151"/>
      <w:bookmarkEnd w:id="152"/>
      <w:bookmarkEnd w:id="153"/>
      <w:bookmarkEnd w:id="154"/>
      <w:bookmarkEnd w:id="155"/>
      <w:bookmarkEnd w:id="156"/>
      <w:bookmarkEnd w:id="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D60D7" w14:paraId="7440A91F" w14:textId="77777777" w:rsidTr="00672D2A">
        <w:trPr>
          <w:trHeight w:val="591"/>
        </w:trPr>
        <w:tc>
          <w:tcPr>
            <w:tcW w:w="8862" w:type="dxa"/>
            <w:gridSpan w:val="2"/>
            <w:shd w:val="clear" w:color="auto" w:fill="CCCCCC"/>
          </w:tcPr>
          <w:p w14:paraId="4154FB7C"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Kolumny</w:t>
            </w:r>
          </w:p>
        </w:tc>
      </w:tr>
      <w:tr w:rsidR="000B0B09" w:rsidRPr="002D60D7" w14:paraId="12CECACA" w14:textId="77777777" w:rsidTr="00672D2A">
        <w:tc>
          <w:tcPr>
            <w:tcW w:w="986" w:type="dxa"/>
          </w:tcPr>
          <w:p w14:paraId="6FA50BB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WSZYSTKIE POZYCJE (DŁUGIE I KRÓTKIE)</w:t>
            </w:r>
          </w:p>
          <w:p w14:paraId="4B99A78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60BC9B3E" w14:textId="0549CCC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Długie/krótkie pozycje brutto uważane za pozycje w tym samym towarze zgodnie z art. 357 ust. 4 rozporządzenia (UE) nr 575/2013 (zob. także art. 359 ust. 1 tego rozporządzenia).</w:t>
            </w:r>
          </w:p>
          <w:p w14:paraId="3E9C720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4AB4396B" w14:textId="77777777" w:rsidTr="00672D2A">
        <w:tc>
          <w:tcPr>
            <w:tcW w:w="986" w:type="dxa"/>
          </w:tcPr>
          <w:p w14:paraId="224657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NETTO (DŁUGIE I KRÓTKIE)</w:t>
            </w:r>
          </w:p>
          <w:p w14:paraId="0B49C3F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7F059DD" w14:textId="7B41C090"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Zgodnie z art. 357 ust. 3 rozporządzenia (UE) nr 575/2013. </w:t>
            </w:r>
          </w:p>
        </w:tc>
      </w:tr>
      <w:tr w:rsidR="000B0B09" w:rsidRPr="002D60D7" w14:paraId="0A46320C" w14:textId="77777777" w:rsidTr="00672D2A">
        <w:tc>
          <w:tcPr>
            <w:tcW w:w="986" w:type="dxa"/>
          </w:tcPr>
          <w:p w14:paraId="7F0B984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PODLEGAJĄCE NARZUTOWI KAPITAŁOWEMU</w:t>
            </w:r>
          </w:p>
          <w:p w14:paraId="55ED580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D57A399" w14:textId="58FF94B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Te pozycje netto, które zgodnie z różnymi metodami uwzględnionymi w części trzeciej tytuł IV rozdział 4 rozporządzenia (UE) nr 575/2013 otrzymują narzut kapitałowy.</w:t>
            </w:r>
          </w:p>
          <w:p w14:paraId="762BD2E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37B5E6C" w14:textId="77777777" w:rsidTr="00672D2A">
        <w:tc>
          <w:tcPr>
            <w:tcW w:w="986" w:type="dxa"/>
          </w:tcPr>
          <w:p w14:paraId="41FAB94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WYMOGI W ZAKRESIE FUNDUSZY WŁASNYCH</w:t>
            </w:r>
          </w:p>
          <w:p w14:paraId="545A19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F8C468D" w14:textId="7E2236D4" w:rsidR="000B0B09" w:rsidRPr="002D60D7" w:rsidRDefault="000B0B09"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Wymóg w zakresie funduszy własnych obliczony zgodnie z częścią trzecią tytuł IV rozdział 4 rozporządzenia (UE) nr 575/2013 w odniesieniu do każdej stosownej pozycji.</w:t>
            </w:r>
          </w:p>
        </w:tc>
      </w:tr>
      <w:tr w:rsidR="000B0B09" w:rsidRPr="002D60D7" w14:paraId="380AB4E0" w14:textId="77777777" w:rsidTr="00672D2A">
        <w:tc>
          <w:tcPr>
            <w:tcW w:w="986" w:type="dxa"/>
          </w:tcPr>
          <w:p w14:paraId="0EE22EDA"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ŁĄCZNA KWOTA EKSPOZYCJI NA RYZYKO</w:t>
            </w:r>
          </w:p>
          <w:p w14:paraId="35864C1F"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7C230E5C" w14:textId="027F150A" w:rsidR="00A2757B"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 xml:space="preserve">Art. 92 ust. 6 lit. b) rozporządzenia (UE) nr 575/2013. </w:t>
            </w:r>
          </w:p>
          <w:p w14:paraId="67EADC1A" w14:textId="77777777" w:rsidR="000B0B09" w:rsidRPr="002D60D7" w:rsidRDefault="000B0B09" w:rsidP="004C445F">
            <w:pPr>
              <w:tabs>
                <w:tab w:val="left" w:pos="1665"/>
              </w:tabs>
              <w:suppressAutoHyphens/>
              <w:autoSpaceDE w:val="0"/>
              <w:autoSpaceDN w:val="0"/>
              <w:adjustRightInd w:val="0"/>
              <w:spacing w:before="0"/>
              <w:rPr>
                <w:rFonts w:ascii="Times New Roman" w:hAnsi="Times New Roman"/>
                <w:b/>
                <w:bCs/>
                <w:sz w:val="24"/>
                <w:u w:val="single"/>
              </w:rPr>
            </w:pPr>
            <w:r>
              <w:rPr>
                <w:rFonts w:ascii="Times New Roman" w:hAnsi="Times New Roman"/>
                <w:sz w:val="24"/>
              </w:rPr>
              <w:t>Wynik pomnożenia wymogów w zakresie funduszy własnych przez 12,5.</w:t>
            </w:r>
          </w:p>
        </w:tc>
      </w:tr>
    </w:tbl>
    <w:p w14:paraId="0DC9D0A4"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0386B5FC" w14:textId="77777777" w:rsidTr="00672D2A">
        <w:trPr>
          <w:trHeight w:val="483"/>
        </w:trPr>
        <w:tc>
          <w:tcPr>
            <w:tcW w:w="8862" w:type="dxa"/>
            <w:gridSpan w:val="2"/>
            <w:shd w:val="clear" w:color="auto" w:fill="CCCCCC"/>
          </w:tcPr>
          <w:p w14:paraId="1255E033"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Wiersze</w:t>
            </w:r>
          </w:p>
        </w:tc>
      </w:tr>
      <w:tr w:rsidR="000B0B09" w:rsidRPr="002D60D7" w14:paraId="3F19FB75" w14:textId="77777777" w:rsidTr="00672D2A">
        <w:tc>
          <w:tcPr>
            <w:tcW w:w="987" w:type="dxa"/>
          </w:tcPr>
          <w:p w14:paraId="6200338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DOTYCZĄCE CEN TOWARÓW RAZEM</w:t>
            </w:r>
          </w:p>
          <w:p w14:paraId="0356262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p>
          <w:p w14:paraId="1B02378E" w14:textId="7E4205C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Pozycje w towarach oraz odpowiadające im wymogi w zakresie funduszy własnych z tytułu ryzyka rynkowego, obliczone zgodnie z art. 92 ust. 4 lit. c) rozporządzenia (UE) nr 575/2013 i częścią trzecią tytuł IV rozdział 4 tego rozporządzenia. </w:t>
            </w:r>
          </w:p>
        </w:tc>
      </w:tr>
      <w:tr w:rsidR="000B0B09" w:rsidRPr="002D60D7" w14:paraId="216F1AEE" w14:textId="77777777" w:rsidTr="00672D2A">
        <w:tc>
          <w:tcPr>
            <w:tcW w:w="987" w:type="dxa"/>
          </w:tcPr>
          <w:p w14:paraId="62D08C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WEDŁUG KATEGORII TOWARU</w:t>
            </w:r>
          </w:p>
          <w:p w14:paraId="5692188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DC33454" w14:textId="09121CFD"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Na potrzeby sprawozdawczości towary dzieli się na cztery grupy towarów, o których mowa w tabeli 2 w art. 361 rozporządzenia (UE) nr 575/2013.</w:t>
            </w:r>
          </w:p>
          <w:p w14:paraId="04BB531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50CBB22D" w14:textId="77777777" w:rsidTr="00672D2A">
        <w:tc>
          <w:tcPr>
            <w:tcW w:w="987" w:type="dxa"/>
          </w:tcPr>
          <w:p w14:paraId="3E68EF2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METODA TERMINÓW ZAPADALNOŚCI</w:t>
            </w:r>
          </w:p>
          <w:p w14:paraId="2C667CB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2CB6FD7" w14:textId="0EBD6A7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Pozycje w towarach podlegające metodzie terminów zapadalności, o której mowa w art. 359 rozporządzenia (UE) nr 575/2013.</w:t>
            </w:r>
          </w:p>
          <w:p w14:paraId="018E7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D4187B0" w14:textId="77777777" w:rsidTr="00672D2A">
        <w:tc>
          <w:tcPr>
            <w:tcW w:w="987" w:type="dxa"/>
          </w:tcPr>
          <w:p w14:paraId="317F571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ROZSZERZONA METODA TERMINÓW ZAPADALNOŚCI</w:t>
            </w:r>
          </w:p>
          <w:p w14:paraId="28E2284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72FB876" w14:textId="13AA387E"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Pozycje w towarach podlegające rozszerzonej metodzie terminów zapadalności, o której mowa w art. 361 rozporządzenia (UE) nr 575/2013.</w:t>
            </w:r>
          </w:p>
          <w:p w14:paraId="4CC42EB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8D8BBC0" w14:textId="77777777" w:rsidTr="00672D2A">
        <w:tc>
          <w:tcPr>
            <w:tcW w:w="987" w:type="dxa"/>
          </w:tcPr>
          <w:p w14:paraId="75FF36E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METODA UPROSZCZONA</w:t>
            </w:r>
          </w:p>
          <w:p w14:paraId="739EF26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3C6F5D9" w14:textId="7485AEDA"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Pozycje w towarach podlegające metodzie uproszczonej, o której mowa w art. 360 rozporządzenia (UE) nr 575/2013. </w:t>
            </w:r>
          </w:p>
          <w:p w14:paraId="72D24CC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6AF081D" w14:textId="77777777" w:rsidTr="00672D2A">
        <w:tc>
          <w:tcPr>
            <w:tcW w:w="987" w:type="dxa"/>
          </w:tcPr>
          <w:p w14:paraId="7DA76A9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DODATKOWE WYMOGI W ZAKRESIE OPCJI (RYZYKA INNE NIŻ RYZYKO DELTA)</w:t>
            </w:r>
          </w:p>
          <w:p w14:paraId="444B7110" w14:textId="08585130"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Art. 358 ust. 4 rozporządzenia (UE) nr 575/2013. </w:t>
            </w:r>
          </w:p>
          <w:p w14:paraId="1D3D5AF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Dodatkowe wymogi w zakresie opcji związane z ryzykami innymi niż ryzyko delta zgłasza się w metodzie stosowanej do obliczenia tego ryzyka.</w:t>
            </w:r>
          </w:p>
          <w:p w14:paraId="55D77BA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2D60D7" w:rsidRDefault="000B0B09" w:rsidP="004C445F">
      <w:pPr>
        <w:suppressAutoHyphens/>
        <w:rPr>
          <w:rFonts w:ascii="Times New Roman" w:hAnsi="Times New Roman"/>
          <w:sz w:val="24"/>
        </w:rPr>
      </w:pPr>
    </w:p>
    <w:p w14:paraId="60EF2674" w14:textId="77777777" w:rsidR="000B0B09" w:rsidRPr="002D60D7" w:rsidRDefault="000B0B09" w:rsidP="004C445F">
      <w:pPr>
        <w:suppressAutoHyphens/>
        <w:spacing w:before="0" w:after="0"/>
        <w:jc w:val="left"/>
        <w:rPr>
          <w:rStyle w:val="InstructionsTabelleText"/>
          <w:rFonts w:ascii="Times New Roman" w:hAnsi="Times New Roman"/>
          <w:sz w:val="24"/>
        </w:rPr>
      </w:pPr>
    </w:p>
    <w:p w14:paraId="47562548" w14:textId="0B23E4C1" w:rsidR="005970B6" w:rsidRPr="002D60D7" w:rsidRDefault="00C82BBD" w:rsidP="004C445F">
      <w:pPr>
        <w:pStyle w:val="Instructionsberschrift2"/>
        <w:numPr>
          <w:ilvl w:val="0"/>
          <w:numId w:val="0"/>
        </w:numPr>
        <w:suppressAutoHyphens/>
        <w:ind w:left="357" w:hanging="357"/>
        <w:rPr>
          <w:rFonts w:ascii="Times New Roman" w:hAnsi="Times New Roman"/>
          <w:sz w:val="24"/>
        </w:rPr>
      </w:pPr>
      <w:bookmarkStart w:id="158" w:name="_Toc210908838"/>
      <w:r>
        <w:rPr>
          <w:rFonts w:ascii="Times New Roman" w:hAnsi="Times New Roman"/>
          <w:sz w:val="24"/>
        </w:rPr>
        <w:t>8.</w:t>
      </w:r>
      <w:r>
        <w:tab/>
      </w:r>
      <w:r>
        <w:rPr>
          <w:rFonts w:ascii="Times New Roman" w:hAnsi="Times New Roman"/>
          <w:sz w:val="24"/>
        </w:rPr>
        <w:t>C 24.00 – Modele wewnętrzne ryzyka rynkowego (MKR IM)</w:t>
      </w:r>
      <w:bookmarkEnd w:id="158"/>
    </w:p>
    <w:p w14:paraId="4EE11059" w14:textId="6831F2FC"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59" w:name="_Toc151714505"/>
      <w:bookmarkStart w:id="160" w:name="_Toc210908839"/>
      <w:r>
        <w:rPr>
          <w:rFonts w:ascii="Times New Roman" w:hAnsi="Times New Roman"/>
          <w:sz w:val="24"/>
          <w:u w:val="none"/>
        </w:rPr>
        <w:t>8.1.</w:t>
      </w:r>
      <w:r>
        <w:tab/>
      </w:r>
      <w:r>
        <w:rPr>
          <w:rFonts w:ascii="Times New Roman" w:hAnsi="Times New Roman"/>
          <w:sz w:val="24"/>
        </w:rPr>
        <w:t>Uwagi ogólne</w:t>
      </w:r>
      <w:bookmarkEnd w:id="159"/>
      <w:bookmarkEnd w:id="160"/>
    </w:p>
    <w:p w14:paraId="2B3D1454" w14:textId="708078C0" w:rsidR="005970B6" w:rsidRPr="002D60D7" w:rsidRDefault="005970B6" w:rsidP="00E172EA">
      <w:pPr>
        <w:pStyle w:val="InstructionsText2"/>
        <w:numPr>
          <w:ilvl w:val="0"/>
          <w:numId w:val="29"/>
        </w:numPr>
        <w:suppressAutoHyphens/>
      </w:pPr>
      <w:r>
        <w:t>Ten wzór zawiera podział danych dotyczących wartości zagrożonej (VaR) i wartości zagrożonej w warunkach skrajnych (sVaR) według różnych rodzajów ryzyka rynkowego (zadłużenie, akcje, waluty obce, towary) i inne informacje mające istotne znaczenie przy obliczaniu wymogów w zakresie funduszy własnych.</w:t>
      </w:r>
    </w:p>
    <w:p w14:paraId="6141A6DE" w14:textId="106A2D11" w:rsidR="005970B6" w:rsidRDefault="005970B6" w:rsidP="00E172EA">
      <w:pPr>
        <w:pStyle w:val="InstructionsText2"/>
        <w:numPr>
          <w:ilvl w:val="0"/>
          <w:numId w:val="29"/>
        </w:numPr>
        <w:suppressAutoHyphens/>
      </w:pPr>
      <w:r>
        <w:lastRenderedPageBreak/>
        <w:t xml:space="preserve">Ogólnie rzecz biorąc, zależy to od struktury modelu firm inwestycyjnych – od tego, czy dane dotyczące ryzyka ogólnego i szczególnego można ustalić i zgłosić osobno, czy wyłącznie razem. To samo odnosi się do podziału wartości zagrożonej/wartości zagrożonej w warunkach skrajnych na kategorie ryzyka (ryzyko stopy procentowej, ryzyko związane z inwestowaniem w akcje, ryzyko cen towarów i ryzyko walutowe). Instytucja może zrezygnować ze zgłoszenia tego podziału, jeżeli udowodni, że zgłoszenie tych danych byłoby nadmiernie uciążliwe. </w:t>
      </w:r>
    </w:p>
    <w:p w14:paraId="2EAB7003" w14:textId="035AB67F"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61" w:name="_Toc151714506"/>
      <w:bookmarkStart w:id="162" w:name="_Toc210908840"/>
      <w:r>
        <w:rPr>
          <w:rFonts w:ascii="Times New Roman" w:hAnsi="Times New Roman"/>
          <w:sz w:val="24"/>
          <w:u w:val="none"/>
        </w:rPr>
        <w:t>8.2.</w:t>
      </w:r>
      <w:r>
        <w:tab/>
      </w:r>
      <w:r>
        <w:rPr>
          <w:rFonts w:ascii="Times New Roman" w:hAnsi="Times New Roman"/>
          <w:sz w:val="24"/>
        </w:rPr>
        <w:t>Instrukcje dotyczące poszczególnych pozycji</w:t>
      </w:r>
      <w:bookmarkEnd w:id="161"/>
      <w:bookmarkEnd w:id="1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5970B6" w:rsidRPr="002D60D7" w14:paraId="2AB574E2" w14:textId="77777777">
        <w:tc>
          <w:tcPr>
            <w:tcW w:w="8862" w:type="dxa"/>
            <w:gridSpan w:val="2"/>
            <w:shd w:val="clear" w:color="auto" w:fill="BFBFBF"/>
          </w:tcPr>
          <w:p w14:paraId="01F4E3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Kolumny</w:t>
            </w:r>
          </w:p>
        </w:tc>
      </w:tr>
      <w:tr w:rsidR="005970B6" w:rsidRPr="002D60D7" w14:paraId="52E77425" w14:textId="77777777">
        <w:tc>
          <w:tcPr>
            <w:tcW w:w="993" w:type="dxa"/>
          </w:tcPr>
          <w:p w14:paraId="0E51BB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7095CD1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Wartość zagrożona (VaR)</w:t>
            </w:r>
          </w:p>
          <w:p w14:paraId="3DE9F1A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Wartość zagrożona oznacza maksymalną potencjalną stratę, będącą wynikiem zmiany ceny z uwzględnieniem danego prawdopodobieństwa w określonym horyzoncie czasowym.</w:t>
            </w:r>
          </w:p>
        </w:tc>
      </w:tr>
      <w:tr w:rsidR="005970B6" w:rsidRPr="002D60D7" w14:paraId="0C4757E9" w14:textId="77777777">
        <w:tc>
          <w:tcPr>
            <w:tcW w:w="993" w:type="dxa"/>
          </w:tcPr>
          <w:p w14:paraId="145F944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1C8EDD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Mnożnik (m</w:t>
            </w:r>
            <w:r>
              <w:rPr>
                <w:rFonts w:ascii="Times New Roman" w:hAnsi="Times New Roman"/>
                <w:b/>
                <w:sz w:val="24"/>
                <w:u w:val="single"/>
                <w:vertAlign w:val="subscript"/>
              </w:rPr>
              <w:t>c</w:t>
            </w:r>
            <w:r>
              <w:rPr>
                <w:rFonts w:ascii="Times New Roman" w:hAnsi="Times New Roman"/>
                <w:b/>
                <w:sz w:val="24"/>
                <w:u w:val="single"/>
              </w:rPr>
              <w:t>) x średnia z poprzednich 60 dni roboczych (VaR</w:t>
            </w:r>
            <w:r>
              <w:rPr>
                <w:rFonts w:ascii="Times New Roman" w:hAnsi="Times New Roman"/>
                <w:b/>
                <w:sz w:val="24"/>
                <w:u w:val="single"/>
                <w:vertAlign w:val="subscript"/>
              </w:rPr>
              <w:t>avg</w:t>
            </w:r>
            <w:r>
              <w:rPr>
                <w:rFonts w:ascii="Times New Roman" w:hAnsi="Times New Roman"/>
                <w:b/>
                <w:sz w:val="24"/>
                <w:u w:val="single"/>
              </w:rPr>
              <w:t>)</w:t>
            </w:r>
          </w:p>
          <w:p w14:paraId="04584C5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4A7537D0" w14:textId="7FFEC14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 364 ust. 1 lit. a) pkt (ii) oraz art. 365 ust. 1 rozporządzenia (UE) nr 575/2013. </w:t>
            </w:r>
          </w:p>
          <w:p w14:paraId="0DEB05BA"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072FF466" w14:textId="77777777">
        <w:tc>
          <w:tcPr>
            <w:tcW w:w="993" w:type="dxa"/>
          </w:tcPr>
          <w:p w14:paraId="280446F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4723F4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Wartość zagrożona z poprzedniego dnia (VaR</w:t>
            </w:r>
            <w:r>
              <w:rPr>
                <w:rFonts w:ascii="Times New Roman" w:hAnsi="Times New Roman"/>
                <w:b/>
                <w:sz w:val="24"/>
                <w:u w:val="single"/>
                <w:vertAlign w:val="subscript"/>
              </w:rPr>
              <w:t>t-1</w:t>
            </w:r>
            <w:r>
              <w:rPr>
                <w:rFonts w:ascii="Times New Roman" w:hAnsi="Times New Roman"/>
                <w:b/>
                <w:sz w:val="24"/>
                <w:u w:val="single"/>
              </w:rPr>
              <w:t>)</w:t>
            </w:r>
          </w:p>
          <w:p w14:paraId="4954CEF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559586B7" w14:textId="29F64A6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 364 ust. 1 lit. a) pkt (i) oraz art. 365 ust. 1 rozporządzenia (UE) nr 575/2013. </w:t>
            </w:r>
          </w:p>
          <w:p w14:paraId="645E0D45"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301A77B0" w14:textId="77777777">
        <w:tc>
          <w:tcPr>
            <w:tcW w:w="993" w:type="dxa"/>
          </w:tcPr>
          <w:p w14:paraId="55BFA8D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4BD64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W WARUNKACH SKRAJNYCH</w:t>
            </w:r>
          </w:p>
          <w:p w14:paraId="60CDE98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68464C3"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Wartość zagrożona w warunkach skrajnych oznacza maksymalną potencjalną stratę będącą wynikiem zmiany ceny z uwzględnieniem danego prawdopodobieństwa w określonym horyzoncie czasowym, uzyskaną za pomocą danych skalibrowanych z danymi historycznym pochodzącymi z ciągłego 12-miesięcznego okresu występowania skrajnych warunków finansowych mających znaczenie dla portfela instytucji.</w:t>
            </w:r>
          </w:p>
        </w:tc>
      </w:tr>
      <w:tr w:rsidR="005970B6" w:rsidRPr="002D60D7" w14:paraId="3411CEBC" w14:textId="77777777">
        <w:tc>
          <w:tcPr>
            <w:tcW w:w="993" w:type="dxa"/>
          </w:tcPr>
          <w:p w14:paraId="026E758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629F86A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Mnożnik (m</w:t>
            </w:r>
            <w:r>
              <w:rPr>
                <w:rFonts w:ascii="Times New Roman" w:hAnsi="Times New Roman"/>
                <w:b/>
                <w:sz w:val="24"/>
                <w:u w:val="single"/>
                <w:vertAlign w:val="subscript"/>
              </w:rPr>
              <w:t>s</w:t>
            </w:r>
            <w:r>
              <w:rPr>
                <w:rFonts w:ascii="Times New Roman" w:hAnsi="Times New Roman"/>
                <w:b/>
                <w:sz w:val="24"/>
                <w:u w:val="single"/>
              </w:rPr>
              <w:t>) x średnia z poprzednich 60 dni roboczych (SVaR</w:t>
            </w:r>
            <w:r>
              <w:rPr>
                <w:rFonts w:ascii="Times New Roman" w:hAnsi="Times New Roman"/>
                <w:b/>
                <w:sz w:val="24"/>
                <w:u w:val="single"/>
                <w:vertAlign w:val="subscript"/>
              </w:rPr>
              <w:t>avg</w:t>
            </w:r>
            <w:r>
              <w:rPr>
                <w:rFonts w:ascii="Times New Roman" w:hAnsi="Times New Roman"/>
                <w:b/>
                <w:sz w:val="24"/>
                <w:u w:val="single"/>
              </w:rPr>
              <w:t>)</w:t>
            </w:r>
          </w:p>
          <w:p w14:paraId="1CFE4B08"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p w14:paraId="62913484" w14:textId="351187F2"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 364 ust. 1 lit. b) pkt (ii) oraz art. 365 ust. 1 rozporządzenia (UE) nr 575/2013.</w:t>
            </w:r>
            <w:r>
              <w:rPr>
                <w:rStyle w:val="InstructionsTabelleberschrift"/>
                <w:rFonts w:ascii="Times New Roman" w:hAnsi="Times New Roman"/>
                <w:sz w:val="24"/>
              </w:rPr>
              <w:t xml:space="preserve"> </w:t>
            </w:r>
          </w:p>
          <w:p w14:paraId="77989826"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tc>
      </w:tr>
      <w:tr w:rsidR="005970B6" w:rsidRPr="002D60D7" w14:paraId="41A38D20" w14:textId="77777777">
        <w:tc>
          <w:tcPr>
            <w:tcW w:w="993" w:type="dxa"/>
          </w:tcPr>
          <w:p w14:paraId="2A34CF8D"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470B121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Ostatnia dostępna wartość zagrożona w warunkach skrajnych (SVaR</w:t>
            </w:r>
            <w:r>
              <w:rPr>
                <w:rFonts w:ascii="Times New Roman" w:hAnsi="Times New Roman"/>
                <w:b/>
                <w:sz w:val="24"/>
                <w:u w:val="single"/>
                <w:vertAlign w:val="subscript"/>
              </w:rPr>
              <w:t>t-1</w:t>
            </w:r>
            <w:r>
              <w:rPr>
                <w:rFonts w:ascii="Times New Roman" w:hAnsi="Times New Roman"/>
                <w:b/>
                <w:sz w:val="24"/>
                <w:u w:val="single"/>
              </w:rPr>
              <w:t>)</w:t>
            </w:r>
          </w:p>
          <w:p w14:paraId="0EC2BDB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5FF53E38" w14:textId="0054C4C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 364 ust. 1 lit. b) pkt (i) oraz art. 365 ust. 1 rozporządzenia (UE) nr 575/2013. </w:t>
            </w:r>
          </w:p>
          <w:p w14:paraId="5E60C64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de-DE"/>
              </w:rPr>
            </w:pPr>
          </w:p>
        </w:tc>
      </w:tr>
      <w:tr w:rsidR="005970B6" w:rsidRPr="002D60D7" w14:paraId="7F2569E5" w14:textId="77777777">
        <w:tc>
          <w:tcPr>
            <w:tcW w:w="993" w:type="dxa"/>
          </w:tcPr>
          <w:p w14:paraId="3A69DD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0A6B8E3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NARZUT KAPITAŁOWY Z TYTUŁU DODATKOWEGO RYZYKA NIEWYKONANIA ZOBOWIĄZAŃ I RYZYKA MIGRACJI</w:t>
            </w:r>
          </w:p>
          <w:p w14:paraId="5B3AF066" w14:textId="72000B27" w:rsidR="005970B6" w:rsidRPr="002D60D7" w:rsidRDefault="005970B6" w:rsidP="004C445F">
            <w:pPr>
              <w:suppressAutoHyphens/>
              <w:rPr>
                <w:rFonts w:ascii="Times New Roman" w:hAnsi="Times New Roman"/>
                <w:b/>
                <w:bCs/>
                <w:sz w:val="24"/>
                <w:u w:val="single"/>
              </w:rPr>
            </w:pPr>
            <w:r>
              <w:rPr>
                <w:rFonts w:ascii="Times New Roman" w:hAnsi="Times New Roman"/>
                <w:sz w:val="24"/>
              </w:rPr>
              <w:t xml:space="preserve">Narzut kapitałowy z tytułu dodatkowego ryzyka niewykonania zobowiązania i ryzyka migracji oznacza maksymalną potencjalną stratę będącą wynikiem zmiany ceny powiązaną z ryzykiem niewykonania zobowiązania i ryzykiem migracji obliczonym zgodnie z art. 364 ust. 2 lit. b) w związku z częścią trzecią tytuł IV rozdział 5 sekcja 4 rozporządzenia (UE) nr 575/2013. </w:t>
            </w:r>
          </w:p>
        </w:tc>
      </w:tr>
      <w:tr w:rsidR="005970B6" w:rsidRPr="002D60D7" w14:paraId="17515745" w14:textId="77777777">
        <w:tc>
          <w:tcPr>
            <w:tcW w:w="993" w:type="dxa"/>
          </w:tcPr>
          <w:p w14:paraId="595C652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48A1B02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Średnia wartość z 12 tygodni</w:t>
            </w:r>
          </w:p>
          <w:p w14:paraId="7DF0D03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1A6FCED4" w14:textId="280A30E8"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Art. 364 ust. 2 lit. b) pkt (ii) w związku z częścią trzecią tytuł IV rozdział 5 sekcja 4 rozporządzenia (UE) nr 575/2013.</w:t>
            </w:r>
          </w:p>
          <w:p w14:paraId="4E5E6B9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2AD55A6" w14:textId="77777777">
        <w:tc>
          <w:tcPr>
            <w:tcW w:w="993" w:type="dxa"/>
          </w:tcPr>
          <w:p w14:paraId="268DB16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69" w:type="dxa"/>
          </w:tcPr>
          <w:p w14:paraId="24DAC2B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Ostatnia wartość</w:t>
            </w:r>
          </w:p>
          <w:p w14:paraId="776D80B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3EF08F5A" w14:textId="1718D564"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Art. 364 ust. 2 lit. b) pkt (i) w związku z częścią trzecią tytuł IV rozdział 5 sekcja 4 rozporządzenia (UE) nr 575/2013.</w:t>
            </w:r>
          </w:p>
          <w:p w14:paraId="2DB84E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6406A7A" w14:textId="77777777">
        <w:tc>
          <w:tcPr>
            <w:tcW w:w="993" w:type="dxa"/>
          </w:tcPr>
          <w:p w14:paraId="1EBB8F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1C6A0111"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WSZELKIE NARZUTY KAPITAŁOWE Z TYTUŁU RYZYKA ZMIANY CEN NA POTRZEBY KORELACYJNEGO PORTFELA HANDLOWEGO</w:t>
            </w:r>
          </w:p>
          <w:p w14:paraId="29B7ABA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616A8BA" w14:textId="77777777">
        <w:tc>
          <w:tcPr>
            <w:tcW w:w="993" w:type="dxa"/>
          </w:tcPr>
          <w:p w14:paraId="7041912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1E696B6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DOLNA GRANICA</w:t>
            </w:r>
          </w:p>
          <w:p w14:paraId="4D4AA5D6" w14:textId="77777777" w:rsidR="005970B6" w:rsidRPr="002D60D7" w:rsidRDefault="005970B6" w:rsidP="004C445F">
            <w:pPr>
              <w:suppressAutoHyphens/>
              <w:rPr>
                <w:rFonts w:ascii="Times New Roman" w:hAnsi="Times New Roman"/>
                <w:sz w:val="24"/>
              </w:rPr>
            </w:pPr>
            <w:r>
              <w:rPr>
                <w:rFonts w:ascii="Times New Roman" w:hAnsi="Times New Roman"/>
                <w:sz w:val="24"/>
              </w:rPr>
              <w:t>Art. 364 ust. 3 lit. c) rozporządzenia (UE) nr 575/2013.</w:t>
            </w:r>
          </w:p>
          <w:p w14:paraId="43C8E4E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8 % narzutu kapitałowego, który obliczono by zgodnie z art. 338 ust. 1 rozporządzenia (UE) nr 575/2013 dla wszystkich pozycji we „wszelkich narzutach kapitałowych z tytułu ryzyka zmiany cen”.</w:t>
            </w:r>
            <w:r>
              <w:rPr>
                <w:rFonts w:ascii="Times New Roman" w:hAnsi="Times New Roman"/>
                <w:b/>
                <w:sz w:val="24"/>
                <w:u w:val="single"/>
              </w:rPr>
              <w:t xml:space="preserve"> </w:t>
            </w:r>
          </w:p>
          <w:p w14:paraId="0D02237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8CB1AF7" w14:textId="77777777">
        <w:tc>
          <w:tcPr>
            <w:tcW w:w="993" w:type="dxa"/>
          </w:tcPr>
          <w:p w14:paraId="4E53B90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7CEDB94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ŚREDNIA WARTOŚĆ Z 12 TYGODNI I OSTATNIA WARTOŚĆ</w:t>
            </w:r>
          </w:p>
          <w:p w14:paraId="46EA9990" w14:textId="77777777" w:rsidR="005970B6" w:rsidRPr="002D60D7" w:rsidRDefault="005970B6" w:rsidP="004C445F">
            <w:pPr>
              <w:suppressAutoHyphens/>
              <w:autoSpaceDE w:val="0"/>
              <w:autoSpaceDN w:val="0"/>
              <w:adjustRightInd w:val="0"/>
              <w:spacing w:after="0"/>
              <w:rPr>
                <w:rFonts w:ascii="Times New Roman" w:hAnsi="Times New Roman"/>
                <w:bCs/>
                <w:sz w:val="24"/>
              </w:rPr>
            </w:pPr>
            <w:r>
              <w:rPr>
                <w:rFonts w:ascii="Times New Roman" w:hAnsi="Times New Roman"/>
                <w:sz w:val="24"/>
              </w:rPr>
              <w:t>Art. 364 ust. 3 lit. b) rozporządzenia (UE) nr 575/2013.</w:t>
            </w:r>
          </w:p>
          <w:p w14:paraId="3111F404" w14:textId="77777777" w:rsidR="005970B6" w:rsidRPr="002D60D7" w:rsidRDefault="005970B6" w:rsidP="004C445F">
            <w:pPr>
              <w:suppressAutoHyphens/>
              <w:autoSpaceDE w:val="0"/>
              <w:autoSpaceDN w:val="0"/>
              <w:adjustRightInd w:val="0"/>
              <w:spacing w:before="0" w:after="0"/>
              <w:rPr>
                <w:rFonts w:ascii="Times New Roman" w:hAnsi="Times New Roman"/>
                <w:bCs/>
                <w:sz w:val="24"/>
                <w:u w:val="single"/>
                <w:lang w:eastAsia="nl-BE"/>
              </w:rPr>
            </w:pPr>
          </w:p>
        </w:tc>
      </w:tr>
      <w:tr w:rsidR="005970B6" w:rsidRPr="002D60D7" w14:paraId="320867DB" w14:textId="77777777">
        <w:tc>
          <w:tcPr>
            <w:tcW w:w="993" w:type="dxa"/>
          </w:tcPr>
          <w:p w14:paraId="42D6439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30EB7A67"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OSTATNIA WARTOŚĆ</w:t>
            </w:r>
          </w:p>
          <w:p w14:paraId="54C3A200" w14:textId="77777777" w:rsidR="005970B6" w:rsidRPr="002D60D7" w:rsidRDefault="005970B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 364 ust. 3 lit. a) rozporządzenia (UE) nr 575/2013.</w:t>
            </w:r>
          </w:p>
          <w:p w14:paraId="702AB9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6AF4AFCB" w14:textId="77777777">
        <w:tc>
          <w:tcPr>
            <w:tcW w:w="993" w:type="dxa"/>
          </w:tcPr>
          <w:p w14:paraId="0785063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154C34A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WYMOGI W ZAKRESIE FUNDUSZY WŁASNYCH</w:t>
            </w:r>
          </w:p>
          <w:p w14:paraId="278D1894" w14:textId="31D5182C"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Wymogi w zakresie funduszy własnych, o których mowa w art. 364 rozporządzenia (UE) nr 575/2013, w odniesieniu do wszystkich czynników ryzyka, z uwzględnieniem skutków korelacji w stosownych przypadkach, oraz dodatkowe ryzyko niewykonania zobowiązania i ryzyko migracji, a także wszelkie ryzyko zmiany cen na potrzeby korelacyjnego portfela handlowego, ale z wyjątkiem narzutów kapitałowych z tytułu sekurytyzacji w odniesieniu do sekurytyzacji i kredytowego instrumentu pochodnego uruchamianego n-tym niewykonaniem zobowiązania zgodnie z art. 364 ust. 2 tego rozporządzenia. </w:t>
            </w:r>
          </w:p>
        </w:tc>
      </w:tr>
      <w:tr w:rsidR="005970B6" w:rsidRPr="002D60D7" w14:paraId="321F7641" w14:textId="77777777">
        <w:tc>
          <w:tcPr>
            <w:tcW w:w="993" w:type="dxa"/>
          </w:tcPr>
          <w:p w14:paraId="4808EA4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191025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ŁĄCZNA KWOTA EKSPOZYCJI NA RYZYKO</w:t>
            </w:r>
          </w:p>
          <w:p w14:paraId="1B83D6B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2BD10046" w14:textId="2F594400"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 92 ust. 6 lit. b) rozporządzenia (UE) nr 575/2013. </w:t>
            </w:r>
          </w:p>
          <w:p w14:paraId="0C045673" w14:textId="570D1A6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Wynik pomnożenia wymogów w zakresie funduszy własnych przez 12,5.</w:t>
            </w:r>
          </w:p>
          <w:p w14:paraId="1D75252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30D32EA" w14:textId="77777777">
        <w:tc>
          <w:tcPr>
            <w:tcW w:w="993" w:type="dxa"/>
          </w:tcPr>
          <w:p w14:paraId="7C0865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69330FF8"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Liczba przekroczeń w ciągu ostatnich 250 dni roboczych</w:t>
            </w:r>
          </w:p>
          <w:p w14:paraId="66F88BE9"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O których mowa w art. 366 rozporządzenia (UE) nr 575/2013.</w:t>
            </w:r>
          </w:p>
          <w:p w14:paraId="681C5C48" w14:textId="5946ADCD"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Zgłasza się liczbę przekroczeń, w oparciu o którą wyznacza się dodajnik. Jeżeli firmy inwestycyjne uzyskały zezwolenie na wyłączenie określonych przekroczeń z obliczeń dodajnika zgodnie z art. 500c rozporządzenia (UE) nr 575/2013, liczba przekroczeń zgłaszanych w tej kolumnie nie powinna uwzględniać takich wyłączonych przekroczeń.</w:t>
            </w:r>
          </w:p>
        </w:tc>
      </w:tr>
      <w:tr w:rsidR="005970B6" w:rsidRPr="002D60D7" w14:paraId="44599020" w14:textId="77777777">
        <w:tc>
          <w:tcPr>
            <w:tcW w:w="993" w:type="dxa"/>
          </w:tcPr>
          <w:p w14:paraId="4C66FF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0150–0160</w:t>
            </w:r>
          </w:p>
        </w:tc>
        <w:tc>
          <w:tcPr>
            <w:tcW w:w="7869" w:type="dxa"/>
          </w:tcPr>
          <w:p w14:paraId="26532024"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Mnożnik wartości zagrożonej (m</w:t>
            </w:r>
            <w:r>
              <w:rPr>
                <w:rFonts w:ascii="Times New Roman" w:hAnsi="Times New Roman"/>
                <w:b/>
                <w:sz w:val="24"/>
                <w:u w:val="single"/>
                <w:vertAlign w:val="subscript"/>
              </w:rPr>
              <w:t>c</w:t>
            </w:r>
            <w:r>
              <w:rPr>
                <w:rFonts w:ascii="Times New Roman" w:hAnsi="Times New Roman"/>
                <w:b/>
                <w:sz w:val="24"/>
                <w:u w:val="single"/>
              </w:rPr>
              <w:t>) i mnożnik wartości zagrożonej w warunkach skrajnych (m</w:t>
            </w:r>
            <w:r>
              <w:rPr>
                <w:rFonts w:ascii="Times New Roman" w:hAnsi="Times New Roman"/>
                <w:b/>
                <w:sz w:val="24"/>
                <w:u w:val="single"/>
                <w:vertAlign w:val="subscript"/>
              </w:rPr>
              <w:t>s</w:t>
            </w:r>
            <w:r>
              <w:rPr>
                <w:rFonts w:ascii="Times New Roman" w:hAnsi="Times New Roman"/>
                <w:b/>
                <w:sz w:val="24"/>
                <w:u w:val="single"/>
              </w:rPr>
              <w:t>)</w:t>
            </w:r>
          </w:p>
          <w:p w14:paraId="5E04C211"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O których mowa w art. 366 rozporządzenia (UE) nr 575/2013.</w:t>
            </w:r>
          </w:p>
          <w:p w14:paraId="779600D5" w14:textId="77777777" w:rsidR="005970B6" w:rsidRPr="002D60D7" w:rsidRDefault="005970B6" w:rsidP="004C445F">
            <w:pPr>
              <w:suppressAutoHyphens/>
              <w:autoSpaceDE w:val="0"/>
              <w:autoSpaceDN w:val="0"/>
              <w:adjustRightInd w:val="0"/>
              <w:spacing w:before="0" w:after="0"/>
              <w:rPr>
                <w:rStyle w:val="InstructionsTabelleberschrift"/>
              </w:rPr>
            </w:pPr>
            <w:r>
              <w:rPr>
                <w:rFonts w:ascii="Times New Roman" w:hAnsi="Times New Roman"/>
                <w:sz w:val="24"/>
              </w:rPr>
              <w:t>Zgłasza się mnożniki mające faktycznie zastosowanie do obliczeń wymogów w zakresie funduszy własnych, w stosownych przypadkach po zastosowaniu przepisów art. 500c rozporządzenia (UE) nr 575/2013.</w:t>
            </w:r>
          </w:p>
          <w:p w14:paraId="50AAD27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tc>
      </w:tr>
      <w:tr w:rsidR="005970B6" w:rsidRPr="002D60D7" w14:paraId="470DEC4A" w14:textId="77777777">
        <w:tc>
          <w:tcPr>
            <w:tcW w:w="993" w:type="dxa"/>
          </w:tcPr>
          <w:p w14:paraId="3AFAF47E"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48824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NARZUT USTANOWIONY DLA DOLNEJ GRANICY KORELACYJNEGO PORTFELA HANDLOWEGO – WAŻONE POZYCJE DŁUGIE/KRÓTKIE NETTO PO UWZGLĘDNIENIU PUŁAPU</w:t>
            </w:r>
          </w:p>
          <w:p w14:paraId="494DC1BB" w14:textId="2CBA2FF8" w:rsidR="005970B6" w:rsidRPr="002D60D7" w:rsidRDefault="005970B6" w:rsidP="004C445F">
            <w:pPr>
              <w:suppressAutoHyphens/>
              <w:autoSpaceDE w:val="0"/>
              <w:autoSpaceDN w:val="0"/>
              <w:adjustRightInd w:val="0"/>
              <w:rPr>
                <w:rStyle w:val="InstructionsTabelleberschrift"/>
                <w:rFonts w:ascii="Times New Roman" w:hAnsi="Times New Roman"/>
                <w:sz w:val="24"/>
              </w:rPr>
            </w:pPr>
            <w:r>
              <w:rPr>
                <w:rFonts w:ascii="Times New Roman" w:hAnsi="Times New Roman"/>
                <w:sz w:val="24"/>
              </w:rPr>
              <w:t xml:space="preserve">Zgłoszona kwota, która służy jako podstawa do obliczenia dolnej granicy narzutu kapitałowego dla wszelkiego ryzyka zmiany cen zgodnie z art. 364 ust. 3 lit. c) rozporządzenia (UE) nr 575/2013, uwzględniając swobodę uznania przewidzianą w art. 335 tego rozporządzenia, na mocy którego instytucja może ograniczyć iloczyn wagi i pozycji netto do najwyższej potencjalnej straty powiązanej z ryzykiem niewykonania zobowiązań. </w:t>
            </w:r>
          </w:p>
        </w:tc>
      </w:tr>
    </w:tbl>
    <w:p w14:paraId="7C2EA60D" w14:textId="77777777" w:rsidR="005970B6" w:rsidRPr="002D60D7" w:rsidRDefault="005970B6" w:rsidP="004C445F">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5970B6" w:rsidRPr="002D60D7" w14:paraId="708AEEEE" w14:textId="77777777" w:rsidTr="00332B2A">
        <w:trPr>
          <w:trHeight w:val="566"/>
        </w:trPr>
        <w:tc>
          <w:tcPr>
            <w:tcW w:w="8896" w:type="dxa"/>
            <w:gridSpan w:val="2"/>
            <w:shd w:val="clear" w:color="auto" w:fill="CCCCCC"/>
          </w:tcPr>
          <w:p w14:paraId="24A53264" w14:textId="77777777" w:rsidR="005970B6" w:rsidRPr="002D60D7" w:rsidRDefault="005970B6"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Wiersze</w:t>
            </w:r>
          </w:p>
        </w:tc>
      </w:tr>
      <w:tr w:rsidR="005970B6" w:rsidRPr="002D60D7" w14:paraId="02CF19A0" w14:textId="77777777" w:rsidTr="00332B2A">
        <w:tc>
          <w:tcPr>
            <w:tcW w:w="993" w:type="dxa"/>
          </w:tcPr>
          <w:p w14:paraId="1CFD210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35E94AC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POZYCJE RAZEM</w:t>
            </w:r>
          </w:p>
          <w:p w14:paraId="51E6C5C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1D3F3FF0" w14:textId="7DCEF510"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Odpowiadają części ryzyka pozycji, ryzyka walutowego i ryzyka cen towarów, o których mowa w art. 363 ust. 1 rozporządzenia (UE) nr 575/2013, powiązanej z czynnikami ryzyka, o których mowa w art. 367 ust. 2 tego rozporządzenia.</w:t>
            </w:r>
          </w:p>
          <w:p w14:paraId="1E849456"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Odnośnie do kolumn 0030–0060 (wartość zagrożona i wartość zagrożona w warunkach skrajnych), dane zawarte w wierszu podsumowującym nie są równe podziałowi danych na wartość zagrożoną/wartość zagrożoną w warunkach skrajnych w odniesieniu do odpowiednich elementów ryzyka.</w:t>
            </w:r>
          </w:p>
          <w:p w14:paraId="5F3B58EB"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fr-FR"/>
              </w:rPr>
            </w:pPr>
          </w:p>
        </w:tc>
      </w:tr>
      <w:tr w:rsidR="005970B6" w:rsidRPr="002D60D7" w14:paraId="38DA43E4" w14:textId="77777777" w:rsidTr="00332B2A">
        <w:tc>
          <w:tcPr>
            <w:tcW w:w="993" w:type="dxa"/>
          </w:tcPr>
          <w:p w14:paraId="5E16B1F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27B63C5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RYNKOWE INSTRUMENTY DŁUŻNE</w:t>
            </w:r>
          </w:p>
          <w:p w14:paraId="15354D11" w14:textId="079C5AF5"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Odpowiadają części ryzyka pozycji, o którym mowa w art. 363 ust. 1 rozporządzenia (UE) nr 575/2013, powiązanej czynnikami ryzyka stóp procentowych, o których mowa w art. 367 ust. 2 lit. a) tego rozporządzenia.</w:t>
            </w:r>
          </w:p>
        </w:tc>
      </w:tr>
      <w:tr w:rsidR="005970B6" w:rsidRPr="002D60D7" w14:paraId="49E5F163" w14:textId="77777777" w:rsidTr="00332B2A">
        <w:tc>
          <w:tcPr>
            <w:tcW w:w="993" w:type="dxa"/>
          </w:tcPr>
          <w:p w14:paraId="286B5CF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39D95E9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RYNKOWE INSTRUMENTY DŁUŻNE – RYZYKO OGÓLNE</w:t>
            </w:r>
          </w:p>
          <w:p w14:paraId="630ECD46" w14:textId="77777777"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 xml:space="preserve">Składnik ryzyka ogólnego, o którym mowa w art. 362 rozporządzenia (UE) nr 575/2013. </w:t>
            </w:r>
          </w:p>
        </w:tc>
      </w:tr>
      <w:tr w:rsidR="005970B6" w:rsidRPr="002D60D7" w14:paraId="2085F588" w14:textId="77777777" w:rsidTr="00332B2A">
        <w:tc>
          <w:tcPr>
            <w:tcW w:w="993" w:type="dxa"/>
          </w:tcPr>
          <w:p w14:paraId="156A3F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2815D7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RYNKOWE INSTRUMENTY DŁUŻNE – RYZYKO SZCZEGÓLNE</w:t>
            </w:r>
          </w:p>
          <w:p w14:paraId="6901AE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0092F32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Składnik ryzyka szczególnego, o którym mowa w art. 362 rozporządzenia (UE) nr 575/2013. </w:t>
            </w:r>
          </w:p>
        </w:tc>
      </w:tr>
      <w:tr w:rsidR="005970B6" w:rsidRPr="002D60D7" w14:paraId="3B749D99" w14:textId="77777777" w:rsidTr="00332B2A">
        <w:tc>
          <w:tcPr>
            <w:tcW w:w="993" w:type="dxa"/>
          </w:tcPr>
          <w:p w14:paraId="4E29334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1DA02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INSTRUMENTY KAPITAŁOWE</w:t>
            </w:r>
          </w:p>
          <w:p w14:paraId="2467F6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436B16C8" w14:textId="145A0B19"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Odpowiadają części ryzyka pozycji, o którym mowa w art. 363 ust. 1 rozporządzenia (UE) nr 575/2013, powiązanej z czynnikami ryzyka cen akcji, o których mowa w art. 367 ust. 2 lit. c) tego rozporządzenia. </w:t>
            </w:r>
          </w:p>
          <w:p w14:paraId="7E55C50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B6B921A" w14:textId="77777777" w:rsidTr="00332B2A">
        <w:tc>
          <w:tcPr>
            <w:tcW w:w="993" w:type="dxa"/>
          </w:tcPr>
          <w:p w14:paraId="03CEBA6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903" w:type="dxa"/>
          </w:tcPr>
          <w:p w14:paraId="2CD176E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INSTRUMENTY KAPITAŁOWE – RYZYKO OGÓLNE</w:t>
            </w:r>
          </w:p>
          <w:p w14:paraId="7ACC51D0"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Składnik ryzyka ogólnego, o którym mowa w art. 362 rozporządzenia (UE) nr 575/2013.</w:t>
            </w:r>
          </w:p>
        </w:tc>
      </w:tr>
      <w:tr w:rsidR="005970B6" w:rsidRPr="002D60D7" w14:paraId="50D0A347" w14:textId="77777777" w:rsidTr="00332B2A">
        <w:tc>
          <w:tcPr>
            <w:tcW w:w="993" w:type="dxa"/>
          </w:tcPr>
          <w:p w14:paraId="38D0948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4DF223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INSTRUMENTY KAPITAŁOWE – RYZYKO SZCZEGÓLNE</w:t>
            </w:r>
          </w:p>
          <w:p w14:paraId="6F314929"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Składnik ryzyka szczególnego, o którym mowa w art. 362 rozporządzenia (UE) nr 575/2013. </w:t>
            </w:r>
          </w:p>
        </w:tc>
      </w:tr>
      <w:tr w:rsidR="005970B6" w:rsidRPr="002D60D7" w14:paraId="5B986D45" w14:textId="77777777" w:rsidTr="00332B2A">
        <w:tc>
          <w:tcPr>
            <w:tcW w:w="993" w:type="dxa"/>
          </w:tcPr>
          <w:p w14:paraId="6F14BE8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09DDEB7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RYZYKO WALUTOWE</w:t>
            </w:r>
          </w:p>
          <w:p w14:paraId="219E93CA"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Art. 363 ust. 1 i art. 367 ust. 2 lit. b) rozporządzenia (UE) nr 575/2013.</w:t>
            </w:r>
          </w:p>
        </w:tc>
      </w:tr>
      <w:tr w:rsidR="005970B6" w:rsidRPr="002D60D7" w14:paraId="6242B7DB" w14:textId="77777777" w:rsidTr="00332B2A">
        <w:tc>
          <w:tcPr>
            <w:tcW w:w="993" w:type="dxa"/>
          </w:tcPr>
          <w:p w14:paraId="01A4D573"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2B9D470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RYZYKO CEN TOWARÓW</w:t>
            </w:r>
          </w:p>
          <w:p w14:paraId="4BBB0F31" w14:textId="4679FFC1"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Art. 363 ust. 1 i art. 367 ust. 2 lit. d) rozporządzenia (UE) nr 575/2013. </w:t>
            </w:r>
          </w:p>
        </w:tc>
      </w:tr>
      <w:tr w:rsidR="005970B6" w:rsidRPr="002D60D7" w14:paraId="5165C26D" w14:textId="77777777" w:rsidTr="00332B2A">
        <w:tc>
          <w:tcPr>
            <w:tcW w:w="993" w:type="dxa"/>
          </w:tcPr>
          <w:p w14:paraId="349448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79C8EA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CAŁKOWITA KWOTA Z TYTUŁU RYZYKA OGÓLNEGO</w:t>
            </w:r>
          </w:p>
          <w:p w14:paraId="0C19B9D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1FC56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Ryzyko rynkowe spowodowane ogólnymi zmianami rynkowymi w zakresie rynkowych instrumentów dłużnych, instrumentów kapitałowych, walut i towarów. Wartość zagrożona z tytułu ryzyka ogólnego wszystkich czynników ryzyka (z uwzględnieniem skutków korelacji, w stosownych przypadkach). </w:t>
            </w:r>
          </w:p>
          <w:p w14:paraId="58946EA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696301" w14:paraId="5EA545F0" w14:textId="77777777" w:rsidTr="00332B2A">
        <w:tc>
          <w:tcPr>
            <w:tcW w:w="993" w:type="dxa"/>
          </w:tcPr>
          <w:p w14:paraId="47E0AD8F"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116F184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CAŁKOWITA KWOTA Z TYTUŁU RYZYKA SZCZEGÓLNEGO</w:t>
            </w:r>
          </w:p>
          <w:p w14:paraId="6E0205CC" w14:textId="77777777" w:rsidR="005970B6" w:rsidRPr="00696301" w:rsidRDefault="005970B6" w:rsidP="004C445F">
            <w:pPr>
              <w:suppressAutoHyphens/>
              <w:autoSpaceDE w:val="0"/>
              <w:autoSpaceDN w:val="0"/>
              <w:adjustRightInd w:val="0"/>
              <w:rPr>
                <w:rFonts w:ascii="Times New Roman" w:hAnsi="Times New Roman"/>
                <w:b/>
                <w:bCs/>
                <w:sz w:val="24"/>
                <w:u w:val="single"/>
              </w:rPr>
            </w:pPr>
            <w:r>
              <w:rPr>
                <w:rStyle w:val="InstructionsTabelleText"/>
                <w:rFonts w:ascii="Times New Roman" w:hAnsi="Times New Roman"/>
                <w:sz w:val="24"/>
              </w:rPr>
              <w:t>Składnik ryzyka szczególnego z tytułu rynkowych instrumentów dłużnych i instrumentów kapitałowych. Wartość zagrożona z tytułu ryzyka szczególnego związanego z instrumentami kapitałowymi i rynkowymi instrumentami dłużnymi w portfelu handlowym (z uwzględnieniem skutków korelacji w stosownych przypadkach).</w:t>
            </w:r>
          </w:p>
        </w:tc>
      </w:tr>
    </w:tbl>
    <w:p w14:paraId="0578F882" w14:textId="77777777" w:rsidR="005970B6" w:rsidRPr="00696301" w:rsidRDefault="005970B6" w:rsidP="004C445F">
      <w:pPr>
        <w:suppressAutoHyphens/>
        <w:spacing w:before="0" w:after="0"/>
        <w:jc w:val="left"/>
        <w:rPr>
          <w:rStyle w:val="InstructionsTabelleText"/>
          <w:rFonts w:ascii="Times New Roman" w:hAnsi="Times New Roman"/>
          <w:sz w:val="24"/>
        </w:rPr>
      </w:pPr>
    </w:p>
    <w:p w14:paraId="59BBB927" w14:textId="10C25CE3" w:rsidR="00DD00B4" w:rsidRPr="00696301" w:rsidRDefault="0076375E" w:rsidP="004C445F">
      <w:pPr>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w:t>
      </w:r>
    </w:p>
    <w:sectPr w:rsidR="00DD00B4" w:rsidRPr="00696301" w:rsidSect="00B51F42">
      <w:headerReference w:type="even" r:id="rId17"/>
      <w:headerReference w:type="default" r:id="rId18"/>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71557" w14:textId="77777777" w:rsidR="001D7222" w:rsidRDefault="001D7222" w:rsidP="00D946DB">
      <w:pPr>
        <w:spacing w:before="0" w:after="0"/>
      </w:pPr>
      <w:r>
        <w:separator/>
      </w:r>
    </w:p>
  </w:endnote>
  <w:endnote w:type="continuationSeparator" w:id="0">
    <w:p w14:paraId="78405556" w14:textId="77777777" w:rsidR="001D7222" w:rsidRDefault="001D7222" w:rsidP="00D946DB">
      <w:pPr>
        <w:spacing w:before="0" w:after="0"/>
      </w:pPr>
      <w:r>
        <w:continuationSeparator/>
      </w:r>
    </w:p>
  </w:endnote>
  <w:endnote w:type="continuationNotice" w:id="1">
    <w:p w14:paraId="1E4D48D1" w14:textId="77777777" w:rsidR="001D7222" w:rsidRDefault="001D72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6FB1" w14:textId="77777777" w:rsidR="004E7DCF" w:rsidRDefault="004E7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685E" w14:textId="7A2643B3"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8</w:t>
    </w:r>
    <w:r>
      <w:rPr>
        <w:rFonts w:ascii="Times New Roman" w:hAnsi="Times New Roman"/>
        <w:sz w:val="22"/>
      </w:rPr>
      <w:fldChar w:fldCharType="end"/>
    </w:r>
  </w:p>
  <w:p w14:paraId="4D97BBA9"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102A" w14:textId="7C6C6999"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0503D57B" w14:textId="77777777" w:rsidR="00C3070C" w:rsidRDefault="00C307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E7FAA" w14:textId="77777777" w:rsidR="001D7222" w:rsidRDefault="001D7222" w:rsidP="00D946DB">
      <w:pPr>
        <w:spacing w:before="0" w:after="0"/>
      </w:pPr>
      <w:r>
        <w:separator/>
      </w:r>
    </w:p>
  </w:footnote>
  <w:footnote w:type="continuationSeparator" w:id="0">
    <w:p w14:paraId="6DB92C41" w14:textId="77777777" w:rsidR="001D7222" w:rsidRDefault="001D7222" w:rsidP="00D946DB">
      <w:pPr>
        <w:spacing w:before="0" w:after="0"/>
      </w:pPr>
      <w:r>
        <w:continuationSeparator/>
      </w:r>
    </w:p>
  </w:footnote>
  <w:footnote w:type="continuationNotice" w:id="1">
    <w:p w14:paraId="7F31BD24" w14:textId="77777777" w:rsidR="001D7222" w:rsidRDefault="001D7222">
      <w:pPr>
        <w:spacing w:before="0" w:after="0"/>
      </w:pPr>
    </w:p>
  </w:footnote>
  <w:footnote w:id="2">
    <w:p w14:paraId="3507A652" w14:textId="1546AF66" w:rsidR="00C3070C" w:rsidRPr="00B828CC" w:rsidRDefault="00C3070C" w:rsidP="00C91751">
      <w:r>
        <w:rPr>
          <w:rStyle w:val="FootnoteReference"/>
        </w:rPr>
        <w:footnoteRef/>
      </w:r>
      <w:r>
        <w:t xml:space="preserve"> </w:t>
      </w:r>
      <w:r>
        <w:rPr>
          <w:rFonts w:ascii="Times New Roman" w:hAnsi="Times New Roman"/>
        </w:rPr>
        <w:t>Rozporządzenie delegowane Komisji (UE) nr 525/2014 z dnia 12 marca 2014 r. uzupełniające rozporządzenie Parlamentu Europejskiego i Rady (UE) nr 575/2013 w odniesieniu do regulacyjnych standardów technicznych dotyczących definicji rynku (Dz.U. L 148 z 20.5.2014, s. 15, ELI: http://data.europa.eu/eli/reg_del/2014/525/oj)</w:t>
      </w:r>
      <w:r>
        <w:rPr>
          <w:rFonts w:ascii="Times New Roman" w:hAnsi="Times New Roman"/>
          <w:i/>
        </w:rPr>
        <w:t>.</w:t>
      </w:r>
    </w:p>
  </w:footnote>
  <w:footnote w:id="3">
    <w:p w14:paraId="018474C7" w14:textId="4B859446" w:rsidR="00C3070C" w:rsidRPr="00A11C6E" w:rsidRDefault="00C3070C">
      <w:pPr>
        <w:pStyle w:val="FootnoteText"/>
      </w:pPr>
      <w:r>
        <w:rPr>
          <w:rStyle w:val="FootnoteReference"/>
        </w:rPr>
        <w:footnoteRef/>
      </w:r>
      <w:r>
        <w:t xml:space="preserve"> Rozporządzenie wykonawcze Komisji (UE) nr 945/2014 z dnia 4 września 2014 r. ustanawiające wykonawcze standardy techniczne dotyczące stosownych indeksów o odpowiednim poziomie dywersyfikacji zgodnie z rozporządzeniem Parlamentu Europejskiego i Rady (UE) nr 575/2013 (Dz.U. L 265 z 5.9.2014, s. 3, ELI: http://data.europa.eu/eli/reg_impl/2014/945/oj).</w:t>
      </w:r>
    </w:p>
  </w:footnote>
  <w:footnote w:id="4">
    <w:p w14:paraId="22A9C113" w14:textId="5D688A5C" w:rsidR="0014702F" w:rsidRPr="006B7076" w:rsidRDefault="0014702F" w:rsidP="006B7076">
      <w:pPr>
        <w:pStyle w:val="FootnoteText"/>
        <w:jc w:val="left"/>
      </w:pPr>
      <w:r>
        <w:rPr>
          <w:rStyle w:val="FootnoteReference"/>
        </w:rPr>
        <w:footnoteRef/>
      </w:r>
      <w:r>
        <w:t xml:space="preserve"> Dyrektywa </w:t>
      </w:r>
      <w:bookmarkStart w:id="129" w:name="_Hlk204078738"/>
      <w:r>
        <w:t>Parlamentu Europejskiego i Rady</w:t>
      </w:r>
      <w:bookmarkEnd w:id="129"/>
      <w:r>
        <w:t xml:space="preserve"> 2014/65/UE z dnia 15 maja 2014 r. w sprawie rynków instrumentów finansowych oraz zmieniająca dyrektywę 2002/92/WE i dyrektywę 2011/61/UE (Dz.U. L 173 z 12.6.2014, s. 349, ELI: http://data.europa.eu/eli/dir/2014/65/oj).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E71A" w14:textId="7B4511CB" w:rsidR="00C3070C" w:rsidRDefault="00C3070C">
    <w:pPr>
      <w:pStyle w:val="Header"/>
    </w:pPr>
    <w:r>
      <w:rPr>
        <w:noProof/>
      </w:rP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UNB – Standardowe wykorzystan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EUNB – Standardowe wykorzystanie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UNB – Standardowe wykorzystani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EUNB – Standardowe wykorzystanie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7757" w14:textId="77777777" w:rsidR="004E7DCF" w:rsidRDefault="004E7D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403B2" w14:textId="77777777" w:rsidR="004E7DCF" w:rsidRDefault="004E7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UNB – Standardowe wykorzystan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EUNB – Standardowe wykorzystanie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UNB – Standardowe wykorzystani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EUNB – Standardowe wykorzystanie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7E2581D" w:rsidR="00C3070C" w:rsidRDefault="00C307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UNB – Standardowe wykorzystan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EUNB – Standardowe wykorzystanie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UNB – Standardowe wykorzystani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EUNB – Standardowe wykorzystanie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EE0F25"/>
    <w:multiLevelType w:val="hybridMultilevel"/>
    <w:tmpl w:val="756E5EAE"/>
    <w:lvl w:ilvl="0" w:tplc="0809000F">
      <w:start w:val="1"/>
      <w:numFmt w:val="decimal"/>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C2500"/>
    <w:multiLevelType w:val="hybridMultilevel"/>
    <w:tmpl w:val="76A055C0"/>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16cid:durableId="2027752466">
    <w:abstractNumId w:val="3"/>
  </w:num>
  <w:num w:numId="2" w16cid:durableId="873691100">
    <w:abstractNumId w:val="21"/>
  </w:num>
  <w:num w:numId="3" w16cid:durableId="64646718">
    <w:abstractNumId w:val="29"/>
  </w:num>
  <w:num w:numId="4" w16cid:durableId="2143423029">
    <w:abstractNumId w:val="15"/>
  </w:num>
  <w:num w:numId="5" w16cid:durableId="248462709">
    <w:abstractNumId w:val="24"/>
  </w:num>
  <w:num w:numId="6" w16cid:durableId="1615551260">
    <w:abstractNumId w:val="13"/>
  </w:num>
  <w:num w:numId="7" w16cid:durableId="1802721498">
    <w:abstractNumId w:val="28"/>
  </w:num>
  <w:num w:numId="8" w16cid:durableId="1196040528">
    <w:abstractNumId w:val="5"/>
  </w:num>
  <w:num w:numId="9" w16cid:durableId="394359329">
    <w:abstractNumId w:val="22"/>
  </w:num>
  <w:num w:numId="10" w16cid:durableId="919633677">
    <w:abstractNumId w:val="11"/>
  </w:num>
  <w:num w:numId="11" w16cid:durableId="666446483">
    <w:abstractNumId w:val="17"/>
  </w:num>
  <w:num w:numId="12" w16cid:durableId="1545752287">
    <w:abstractNumId w:val="6"/>
  </w:num>
  <w:num w:numId="13" w16cid:durableId="318656491">
    <w:abstractNumId w:val="23"/>
  </w:num>
  <w:num w:numId="14" w16cid:durableId="943851024">
    <w:abstractNumId w:val="20"/>
  </w:num>
  <w:num w:numId="15" w16cid:durableId="2068988913">
    <w:abstractNumId w:val="10"/>
  </w:num>
  <w:num w:numId="16" w16cid:durableId="750932434">
    <w:abstractNumId w:val="16"/>
  </w:num>
  <w:num w:numId="17" w16cid:durableId="1147473194">
    <w:abstractNumId w:val="9"/>
  </w:num>
  <w:num w:numId="18" w16cid:durableId="916598601">
    <w:abstractNumId w:val="25"/>
  </w:num>
  <w:num w:numId="19" w16cid:durableId="420293218">
    <w:abstractNumId w:val="4"/>
  </w:num>
  <w:num w:numId="20" w16cid:durableId="963775391">
    <w:abstractNumId w:val="14"/>
  </w:num>
  <w:num w:numId="21" w16cid:durableId="813450315">
    <w:abstractNumId w:val="2"/>
  </w:num>
  <w:num w:numId="22" w16cid:durableId="367880198">
    <w:abstractNumId w:val="12"/>
  </w:num>
  <w:num w:numId="23" w16cid:durableId="1272010103">
    <w:abstractNumId w:val="27"/>
  </w:num>
  <w:num w:numId="24" w16cid:durableId="1006593110">
    <w:abstractNumId w:val="1"/>
  </w:num>
  <w:num w:numId="25" w16cid:durableId="1965580885">
    <w:abstractNumId w:val="26"/>
  </w:num>
  <w:num w:numId="26" w16cid:durableId="402915401">
    <w:abstractNumId w:val="18"/>
  </w:num>
  <w:num w:numId="27" w16cid:durableId="627201129">
    <w:abstractNumId w:val="0"/>
  </w:num>
  <w:num w:numId="28" w16cid:durableId="297565844">
    <w:abstractNumId w:val="7"/>
  </w:num>
  <w:num w:numId="29" w16cid:durableId="1297876156">
    <w:abstractNumId w:val="19"/>
  </w:num>
  <w:num w:numId="30" w16cid:durableId="247811965">
    <w:abstractNumId w:val="8"/>
  </w:num>
  <w:num w:numId="31" w16cid:durableId="344554180">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ctiveWritingStyle w:appName="MSWord" w:lang="cs-CZ" w:vendorID="64" w:dllVersion="0" w:nlCheck="1" w:checkStyle="0"/>
  <w:activeWritingStyle w:appName="MSWord" w:lang="pl-PL"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D28"/>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169A0"/>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2937"/>
    <w:rsid w:val="00033301"/>
    <w:rsid w:val="00033B7C"/>
    <w:rsid w:val="00033C55"/>
    <w:rsid w:val="00034431"/>
    <w:rsid w:val="000346A9"/>
    <w:rsid w:val="00034834"/>
    <w:rsid w:val="000359E1"/>
    <w:rsid w:val="00035DCC"/>
    <w:rsid w:val="00035E44"/>
    <w:rsid w:val="000364CE"/>
    <w:rsid w:val="00037093"/>
    <w:rsid w:val="000377CC"/>
    <w:rsid w:val="00037FCC"/>
    <w:rsid w:val="00041480"/>
    <w:rsid w:val="000433C4"/>
    <w:rsid w:val="00043C7C"/>
    <w:rsid w:val="00045036"/>
    <w:rsid w:val="0004590F"/>
    <w:rsid w:val="00050E97"/>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22"/>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39"/>
    <w:rsid w:val="000843B3"/>
    <w:rsid w:val="00084A4D"/>
    <w:rsid w:val="00085019"/>
    <w:rsid w:val="000858A9"/>
    <w:rsid w:val="00085FB4"/>
    <w:rsid w:val="000860B6"/>
    <w:rsid w:val="00086A31"/>
    <w:rsid w:val="00086C6E"/>
    <w:rsid w:val="00087700"/>
    <w:rsid w:val="00087E1A"/>
    <w:rsid w:val="000903FA"/>
    <w:rsid w:val="000904F3"/>
    <w:rsid w:val="00090583"/>
    <w:rsid w:val="000911FE"/>
    <w:rsid w:val="0009195D"/>
    <w:rsid w:val="00091CBC"/>
    <w:rsid w:val="000921E0"/>
    <w:rsid w:val="0009290C"/>
    <w:rsid w:val="00092F67"/>
    <w:rsid w:val="00093686"/>
    <w:rsid w:val="00093BF7"/>
    <w:rsid w:val="00094D25"/>
    <w:rsid w:val="00095191"/>
    <w:rsid w:val="00095CAD"/>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4DFF"/>
    <w:rsid w:val="000B6A14"/>
    <w:rsid w:val="000B70E1"/>
    <w:rsid w:val="000B73C4"/>
    <w:rsid w:val="000C0127"/>
    <w:rsid w:val="000C0A34"/>
    <w:rsid w:val="000C24B5"/>
    <w:rsid w:val="000C30A6"/>
    <w:rsid w:val="000C4A6C"/>
    <w:rsid w:val="000C5A1A"/>
    <w:rsid w:val="000C5EA7"/>
    <w:rsid w:val="000C6938"/>
    <w:rsid w:val="000C7632"/>
    <w:rsid w:val="000C7B1D"/>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470"/>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240A"/>
    <w:rsid w:val="00113D25"/>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563"/>
    <w:rsid w:val="00132778"/>
    <w:rsid w:val="00133107"/>
    <w:rsid w:val="001331F5"/>
    <w:rsid w:val="00133396"/>
    <w:rsid w:val="00133AC1"/>
    <w:rsid w:val="001357A2"/>
    <w:rsid w:val="00136316"/>
    <w:rsid w:val="001379D4"/>
    <w:rsid w:val="00137AC5"/>
    <w:rsid w:val="00137C09"/>
    <w:rsid w:val="001402DB"/>
    <w:rsid w:val="00140571"/>
    <w:rsid w:val="001409D9"/>
    <w:rsid w:val="00140F6E"/>
    <w:rsid w:val="00141DD1"/>
    <w:rsid w:val="0014209A"/>
    <w:rsid w:val="0014210E"/>
    <w:rsid w:val="00142917"/>
    <w:rsid w:val="001432EE"/>
    <w:rsid w:val="00144F03"/>
    <w:rsid w:val="001452FC"/>
    <w:rsid w:val="0014657C"/>
    <w:rsid w:val="00146D50"/>
    <w:rsid w:val="0014702F"/>
    <w:rsid w:val="001474E0"/>
    <w:rsid w:val="0015008C"/>
    <w:rsid w:val="00151071"/>
    <w:rsid w:val="00151B44"/>
    <w:rsid w:val="00151D8A"/>
    <w:rsid w:val="0015288B"/>
    <w:rsid w:val="00152B33"/>
    <w:rsid w:val="00153BEC"/>
    <w:rsid w:val="00154859"/>
    <w:rsid w:val="001550FA"/>
    <w:rsid w:val="00155114"/>
    <w:rsid w:val="00156555"/>
    <w:rsid w:val="00156849"/>
    <w:rsid w:val="001570C4"/>
    <w:rsid w:val="00157883"/>
    <w:rsid w:val="00157B19"/>
    <w:rsid w:val="0016072E"/>
    <w:rsid w:val="0016282F"/>
    <w:rsid w:val="001628F4"/>
    <w:rsid w:val="00162CCF"/>
    <w:rsid w:val="00162E47"/>
    <w:rsid w:val="0016365E"/>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50D"/>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88F"/>
    <w:rsid w:val="001A3980"/>
    <w:rsid w:val="001A40DB"/>
    <w:rsid w:val="001A44B3"/>
    <w:rsid w:val="001A523B"/>
    <w:rsid w:val="001A531E"/>
    <w:rsid w:val="001A627D"/>
    <w:rsid w:val="001A741B"/>
    <w:rsid w:val="001A7742"/>
    <w:rsid w:val="001A7FE5"/>
    <w:rsid w:val="001B023A"/>
    <w:rsid w:val="001B140A"/>
    <w:rsid w:val="001B1531"/>
    <w:rsid w:val="001B17E6"/>
    <w:rsid w:val="001B1F77"/>
    <w:rsid w:val="001B21AE"/>
    <w:rsid w:val="001B21EA"/>
    <w:rsid w:val="001B43AF"/>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222"/>
    <w:rsid w:val="001D7382"/>
    <w:rsid w:val="001D7C9D"/>
    <w:rsid w:val="001E01BA"/>
    <w:rsid w:val="001E0C80"/>
    <w:rsid w:val="001E332C"/>
    <w:rsid w:val="001E38FD"/>
    <w:rsid w:val="001E39E5"/>
    <w:rsid w:val="001E3EF1"/>
    <w:rsid w:val="001E4D45"/>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5BC1"/>
    <w:rsid w:val="001F60B8"/>
    <w:rsid w:val="001F6487"/>
    <w:rsid w:val="001F73EA"/>
    <w:rsid w:val="00200D6E"/>
    <w:rsid w:val="00200E8E"/>
    <w:rsid w:val="002013B1"/>
    <w:rsid w:val="00201704"/>
    <w:rsid w:val="00201F3E"/>
    <w:rsid w:val="00202198"/>
    <w:rsid w:val="00202466"/>
    <w:rsid w:val="00202742"/>
    <w:rsid w:val="0020282E"/>
    <w:rsid w:val="00204265"/>
    <w:rsid w:val="00204383"/>
    <w:rsid w:val="00205AE8"/>
    <w:rsid w:val="00206687"/>
    <w:rsid w:val="00206BD0"/>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272E2"/>
    <w:rsid w:val="002300C6"/>
    <w:rsid w:val="002301C6"/>
    <w:rsid w:val="00230536"/>
    <w:rsid w:val="002305D2"/>
    <w:rsid w:val="00230B10"/>
    <w:rsid w:val="00230DA8"/>
    <w:rsid w:val="00230E9F"/>
    <w:rsid w:val="00232217"/>
    <w:rsid w:val="00232702"/>
    <w:rsid w:val="0023276A"/>
    <w:rsid w:val="002327CE"/>
    <w:rsid w:val="00232921"/>
    <w:rsid w:val="002331CC"/>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4C9"/>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1AB"/>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3A4D"/>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286"/>
    <w:rsid w:val="0029097C"/>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6E"/>
    <w:rsid w:val="002B2BA3"/>
    <w:rsid w:val="002B3E36"/>
    <w:rsid w:val="002B5403"/>
    <w:rsid w:val="002B5492"/>
    <w:rsid w:val="002B5B50"/>
    <w:rsid w:val="002B5CD1"/>
    <w:rsid w:val="002B5F2D"/>
    <w:rsid w:val="002B66BD"/>
    <w:rsid w:val="002C0206"/>
    <w:rsid w:val="002C053E"/>
    <w:rsid w:val="002C06FD"/>
    <w:rsid w:val="002C0985"/>
    <w:rsid w:val="002C1068"/>
    <w:rsid w:val="002C1251"/>
    <w:rsid w:val="002C1FEC"/>
    <w:rsid w:val="002C37D9"/>
    <w:rsid w:val="002C41F1"/>
    <w:rsid w:val="002C4D74"/>
    <w:rsid w:val="002C5671"/>
    <w:rsid w:val="002C6263"/>
    <w:rsid w:val="002C66A4"/>
    <w:rsid w:val="002C674A"/>
    <w:rsid w:val="002D102E"/>
    <w:rsid w:val="002D2C75"/>
    <w:rsid w:val="002D318D"/>
    <w:rsid w:val="002D31E5"/>
    <w:rsid w:val="002D3982"/>
    <w:rsid w:val="002D4561"/>
    <w:rsid w:val="002D4E10"/>
    <w:rsid w:val="002D4F6A"/>
    <w:rsid w:val="002D60D7"/>
    <w:rsid w:val="002D68CE"/>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29CB"/>
    <w:rsid w:val="002F3261"/>
    <w:rsid w:val="002F39A7"/>
    <w:rsid w:val="002F4A67"/>
    <w:rsid w:val="002F4A87"/>
    <w:rsid w:val="002F5571"/>
    <w:rsid w:val="002F707B"/>
    <w:rsid w:val="002F78EA"/>
    <w:rsid w:val="002F79EA"/>
    <w:rsid w:val="002F7E28"/>
    <w:rsid w:val="00300224"/>
    <w:rsid w:val="00302C3F"/>
    <w:rsid w:val="003030A3"/>
    <w:rsid w:val="00303974"/>
    <w:rsid w:val="00304CA5"/>
    <w:rsid w:val="0030572F"/>
    <w:rsid w:val="00306163"/>
    <w:rsid w:val="00306AD1"/>
    <w:rsid w:val="00306F71"/>
    <w:rsid w:val="00306F8E"/>
    <w:rsid w:val="003073B2"/>
    <w:rsid w:val="0031001C"/>
    <w:rsid w:val="0031055A"/>
    <w:rsid w:val="003105C6"/>
    <w:rsid w:val="00310F05"/>
    <w:rsid w:val="00310F96"/>
    <w:rsid w:val="00311119"/>
    <w:rsid w:val="00311B2D"/>
    <w:rsid w:val="00312BA3"/>
    <w:rsid w:val="00313274"/>
    <w:rsid w:val="003132E6"/>
    <w:rsid w:val="003137B9"/>
    <w:rsid w:val="00313D20"/>
    <w:rsid w:val="003141F6"/>
    <w:rsid w:val="00314971"/>
    <w:rsid w:val="003150E6"/>
    <w:rsid w:val="003172C8"/>
    <w:rsid w:val="00317451"/>
    <w:rsid w:val="003175FE"/>
    <w:rsid w:val="00320BB4"/>
    <w:rsid w:val="00321A3B"/>
    <w:rsid w:val="003220BD"/>
    <w:rsid w:val="003232D5"/>
    <w:rsid w:val="00325654"/>
    <w:rsid w:val="003259DA"/>
    <w:rsid w:val="0032635E"/>
    <w:rsid w:val="0032755B"/>
    <w:rsid w:val="003276AF"/>
    <w:rsid w:val="003300FF"/>
    <w:rsid w:val="00330199"/>
    <w:rsid w:val="00331FE6"/>
    <w:rsid w:val="00332B2A"/>
    <w:rsid w:val="00333A44"/>
    <w:rsid w:val="00334093"/>
    <w:rsid w:val="0033476C"/>
    <w:rsid w:val="003374C1"/>
    <w:rsid w:val="00337849"/>
    <w:rsid w:val="00337BEA"/>
    <w:rsid w:val="00340094"/>
    <w:rsid w:val="003400BB"/>
    <w:rsid w:val="00342261"/>
    <w:rsid w:val="00342B6A"/>
    <w:rsid w:val="00342BB2"/>
    <w:rsid w:val="00342C4B"/>
    <w:rsid w:val="003438E8"/>
    <w:rsid w:val="003459F8"/>
    <w:rsid w:val="00345A82"/>
    <w:rsid w:val="00345E53"/>
    <w:rsid w:val="00346C65"/>
    <w:rsid w:val="0034786E"/>
    <w:rsid w:val="00347FF9"/>
    <w:rsid w:val="00350AC4"/>
    <w:rsid w:val="00350DDB"/>
    <w:rsid w:val="00351DD4"/>
    <w:rsid w:val="00352A45"/>
    <w:rsid w:val="00352C6E"/>
    <w:rsid w:val="00352FB3"/>
    <w:rsid w:val="00353D40"/>
    <w:rsid w:val="0035403D"/>
    <w:rsid w:val="003541BA"/>
    <w:rsid w:val="003556A3"/>
    <w:rsid w:val="003557B5"/>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266"/>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66A1"/>
    <w:rsid w:val="003B7060"/>
    <w:rsid w:val="003C050A"/>
    <w:rsid w:val="003C0FB5"/>
    <w:rsid w:val="003C1BB1"/>
    <w:rsid w:val="003C2409"/>
    <w:rsid w:val="003C2566"/>
    <w:rsid w:val="003C3168"/>
    <w:rsid w:val="003C3AAB"/>
    <w:rsid w:val="003C3B79"/>
    <w:rsid w:val="003C3FD5"/>
    <w:rsid w:val="003C4307"/>
    <w:rsid w:val="003C4BA6"/>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2B3"/>
    <w:rsid w:val="003E0950"/>
    <w:rsid w:val="003E098F"/>
    <w:rsid w:val="003E3102"/>
    <w:rsid w:val="003E47C5"/>
    <w:rsid w:val="003E4EF2"/>
    <w:rsid w:val="003E5145"/>
    <w:rsid w:val="003E52DA"/>
    <w:rsid w:val="003E7AEC"/>
    <w:rsid w:val="003F0298"/>
    <w:rsid w:val="003F05A0"/>
    <w:rsid w:val="003F0E76"/>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372"/>
    <w:rsid w:val="00423556"/>
    <w:rsid w:val="00423D6C"/>
    <w:rsid w:val="00423F7E"/>
    <w:rsid w:val="004255D6"/>
    <w:rsid w:val="0042594B"/>
    <w:rsid w:val="00425F4C"/>
    <w:rsid w:val="0042766A"/>
    <w:rsid w:val="00427683"/>
    <w:rsid w:val="0043001B"/>
    <w:rsid w:val="004304C0"/>
    <w:rsid w:val="00430F6F"/>
    <w:rsid w:val="0043168D"/>
    <w:rsid w:val="004317F7"/>
    <w:rsid w:val="004319EB"/>
    <w:rsid w:val="0043231D"/>
    <w:rsid w:val="004350F2"/>
    <w:rsid w:val="004357B9"/>
    <w:rsid w:val="00435BA9"/>
    <w:rsid w:val="00435EB0"/>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46FAC"/>
    <w:rsid w:val="0045099E"/>
    <w:rsid w:val="00450A2E"/>
    <w:rsid w:val="00451220"/>
    <w:rsid w:val="00451B63"/>
    <w:rsid w:val="0045251C"/>
    <w:rsid w:val="00452AB0"/>
    <w:rsid w:val="00452FEF"/>
    <w:rsid w:val="00453999"/>
    <w:rsid w:val="00454026"/>
    <w:rsid w:val="00454082"/>
    <w:rsid w:val="00454139"/>
    <w:rsid w:val="00454CFC"/>
    <w:rsid w:val="00455314"/>
    <w:rsid w:val="00455364"/>
    <w:rsid w:val="00455B49"/>
    <w:rsid w:val="004600E4"/>
    <w:rsid w:val="004603C7"/>
    <w:rsid w:val="00460A9C"/>
    <w:rsid w:val="00461A5A"/>
    <w:rsid w:val="004629A2"/>
    <w:rsid w:val="00462BAB"/>
    <w:rsid w:val="00463E3C"/>
    <w:rsid w:val="00463F88"/>
    <w:rsid w:val="00464DCB"/>
    <w:rsid w:val="00464F34"/>
    <w:rsid w:val="0046517B"/>
    <w:rsid w:val="004656E1"/>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0AF8"/>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5C50"/>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075"/>
    <w:rsid w:val="004B4DF9"/>
    <w:rsid w:val="004B572C"/>
    <w:rsid w:val="004B584D"/>
    <w:rsid w:val="004B5870"/>
    <w:rsid w:val="004B67ED"/>
    <w:rsid w:val="004B6F60"/>
    <w:rsid w:val="004B7F4A"/>
    <w:rsid w:val="004C03BC"/>
    <w:rsid w:val="004C0508"/>
    <w:rsid w:val="004C15A0"/>
    <w:rsid w:val="004C1ACF"/>
    <w:rsid w:val="004C445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CF"/>
    <w:rsid w:val="004E7DF2"/>
    <w:rsid w:val="004F0068"/>
    <w:rsid w:val="004F0474"/>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7065"/>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25295"/>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24E"/>
    <w:rsid w:val="005429A0"/>
    <w:rsid w:val="00542C33"/>
    <w:rsid w:val="00542EAE"/>
    <w:rsid w:val="00543964"/>
    <w:rsid w:val="00543DBD"/>
    <w:rsid w:val="00544DA4"/>
    <w:rsid w:val="00544E37"/>
    <w:rsid w:val="00547047"/>
    <w:rsid w:val="005474CB"/>
    <w:rsid w:val="00550113"/>
    <w:rsid w:val="00550997"/>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65"/>
    <w:rsid w:val="005666F4"/>
    <w:rsid w:val="00566A45"/>
    <w:rsid w:val="00566DB5"/>
    <w:rsid w:val="005723E9"/>
    <w:rsid w:val="00572C82"/>
    <w:rsid w:val="0057350E"/>
    <w:rsid w:val="00573DB4"/>
    <w:rsid w:val="00576215"/>
    <w:rsid w:val="0057632A"/>
    <w:rsid w:val="00576664"/>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2A08"/>
    <w:rsid w:val="00593E1F"/>
    <w:rsid w:val="00595FAD"/>
    <w:rsid w:val="0059657D"/>
    <w:rsid w:val="005965CE"/>
    <w:rsid w:val="005970B6"/>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C89"/>
    <w:rsid w:val="005B5D85"/>
    <w:rsid w:val="005B76D3"/>
    <w:rsid w:val="005C0B75"/>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11E"/>
    <w:rsid w:val="005D423C"/>
    <w:rsid w:val="005D479B"/>
    <w:rsid w:val="005D5914"/>
    <w:rsid w:val="005E0301"/>
    <w:rsid w:val="005E03B8"/>
    <w:rsid w:val="005E0917"/>
    <w:rsid w:val="005E1B10"/>
    <w:rsid w:val="005E3471"/>
    <w:rsid w:val="005E3ABC"/>
    <w:rsid w:val="005E4BEC"/>
    <w:rsid w:val="005E5070"/>
    <w:rsid w:val="005E59EB"/>
    <w:rsid w:val="005E61A3"/>
    <w:rsid w:val="005E7377"/>
    <w:rsid w:val="005E7DF2"/>
    <w:rsid w:val="005E7F24"/>
    <w:rsid w:val="005E7FAD"/>
    <w:rsid w:val="005F05ED"/>
    <w:rsid w:val="005F1095"/>
    <w:rsid w:val="005F12F9"/>
    <w:rsid w:val="005F1957"/>
    <w:rsid w:val="005F1EB8"/>
    <w:rsid w:val="005F266B"/>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7CF"/>
    <w:rsid w:val="0061482E"/>
    <w:rsid w:val="00615252"/>
    <w:rsid w:val="0061552A"/>
    <w:rsid w:val="006161E5"/>
    <w:rsid w:val="00616264"/>
    <w:rsid w:val="00616690"/>
    <w:rsid w:val="00616E90"/>
    <w:rsid w:val="00620AB3"/>
    <w:rsid w:val="006219A7"/>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0EF6"/>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67262"/>
    <w:rsid w:val="006674B5"/>
    <w:rsid w:val="00670758"/>
    <w:rsid w:val="00672D2A"/>
    <w:rsid w:val="0067375E"/>
    <w:rsid w:val="006746DB"/>
    <w:rsid w:val="00674BF5"/>
    <w:rsid w:val="00674FCA"/>
    <w:rsid w:val="006750B8"/>
    <w:rsid w:val="00676B42"/>
    <w:rsid w:val="00676B98"/>
    <w:rsid w:val="006771CE"/>
    <w:rsid w:val="006778A2"/>
    <w:rsid w:val="00677A91"/>
    <w:rsid w:val="00680478"/>
    <w:rsid w:val="00681382"/>
    <w:rsid w:val="00684DC8"/>
    <w:rsid w:val="00685182"/>
    <w:rsid w:val="006855AB"/>
    <w:rsid w:val="0068594D"/>
    <w:rsid w:val="00690B40"/>
    <w:rsid w:val="00690D01"/>
    <w:rsid w:val="006916DC"/>
    <w:rsid w:val="00691F49"/>
    <w:rsid w:val="00691F9C"/>
    <w:rsid w:val="00692A55"/>
    <w:rsid w:val="00692B10"/>
    <w:rsid w:val="0069572F"/>
    <w:rsid w:val="00695A63"/>
    <w:rsid w:val="00695ABB"/>
    <w:rsid w:val="00696301"/>
    <w:rsid w:val="00696434"/>
    <w:rsid w:val="006966FF"/>
    <w:rsid w:val="00696F12"/>
    <w:rsid w:val="006972E8"/>
    <w:rsid w:val="006A01F5"/>
    <w:rsid w:val="006A14F6"/>
    <w:rsid w:val="006A20A0"/>
    <w:rsid w:val="006A2ED8"/>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B59"/>
    <w:rsid w:val="006B2C9D"/>
    <w:rsid w:val="006B36C2"/>
    <w:rsid w:val="006B3BAE"/>
    <w:rsid w:val="006B42A7"/>
    <w:rsid w:val="006B4AC8"/>
    <w:rsid w:val="006B4E35"/>
    <w:rsid w:val="006B5308"/>
    <w:rsid w:val="006B55D6"/>
    <w:rsid w:val="006B5A2B"/>
    <w:rsid w:val="006B5BA8"/>
    <w:rsid w:val="006B7076"/>
    <w:rsid w:val="006B7228"/>
    <w:rsid w:val="006B72F3"/>
    <w:rsid w:val="006C0691"/>
    <w:rsid w:val="006C0915"/>
    <w:rsid w:val="006C0EF3"/>
    <w:rsid w:val="006C11BB"/>
    <w:rsid w:val="006C163A"/>
    <w:rsid w:val="006C1758"/>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0C24"/>
    <w:rsid w:val="006D1BC0"/>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7BF"/>
    <w:rsid w:val="006F0968"/>
    <w:rsid w:val="006F1CCF"/>
    <w:rsid w:val="006F20A4"/>
    <w:rsid w:val="006F2637"/>
    <w:rsid w:val="006F2989"/>
    <w:rsid w:val="006F3626"/>
    <w:rsid w:val="006F3B33"/>
    <w:rsid w:val="006F503D"/>
    <w:rsid w:val="006F53D7"/>
    <w:rsid w:val="00700D33"/>
    <w:rsid w:val="00700DE8"/>
    <w:rsid w:val="00700DFD"/>
    <w:rsid w:val="007027F2"/>
    <w:rsid w:val="007038D5"/>
    <w:rsid w:val="00703C87"/>
    <w:rsid w:val="00705025"/>
    <w:rsid w:val="007062FD"/>
    <w:rsid w:val="007063EE"/>
    <w:rsid w:val="007065FE"/>
    <w:rsid w:val="00706D25"/>
    <w:rsid w:val="00706FD8"/>
    <w:rsid w:val="0070781A"/>
    <w:rsid w:val="007079CE"/>
    <w:rsid w:val="007106FB"/>
    <w:rsid w:val="00710D0F"/>
    <w:rsid w:val="007111B3"/>
    <w:rsid w:val="00711F3A"/>
    <w:rsid w:val="00711F45"/>
    <w:rsid w:val="007121C9"/>
    <w:rsid w:val="00712B6C"/>
    <w:rsid w:val="00712C8C"/>
    <w:rsid w:val="00712DE1"/>
    <w:rsid w:val="00712F56"/>
    <w:rsid w:val="0071377A"/>
    <w:rsid w:val="00713E91"/>
    <w:rsid w:val="00714734"/>
    <w:rsid w:val="007158B2"/>
    <w:rsid w:val="007172B2"/>
    <w:rsid w:val="00717926"/>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3F21"/>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06D"/>
    <w:rsid w:val="007574C3"/>
    <w:rsid w:val="00757C76"/>
    <w:rsid w:val="007608E4"/>
    <w:rsid w:val="00760D4A"/>
    <w:rsid w:val="007615A8"/>
    <w:rsid w:val="00761856"/>
    <w:rsid w:val="00761891"/>
    <w:rsid w:val="0076257F"/>
    <w:rsid w:val="0076375E"/>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5F88"/>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2DB"/>
    <w:rsid w:val="007B4F0B"/>
    <w:rsid w:val="007B4FD3"/>
    <w:rsid w:val="007B54D6"/>
    <w:rsid w:val="007B5523"/>
    <w:rsid w:val="007B741C"/>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4981"/>
    <w:rsid w:val="007E5285"/>
    <w:rsid w:val="007E617C"/>
    <w:rsid w:val="007E6F35"/>
    <w:rsid w:val="007E7340"/>
    <w:rsid w:val="007F0343"/>
    <w:rsid w:val="007F0442"/>
    <w:rsid w:val="007F097C"/>
    <w:rsid w:val="007F0999"/>
    <w:rsid w:val="007F1856"/>
    <w:rsid w:val="007F1970"/>
    <w:rsid w:val="007F3089"/>
    <w:rsid w:val="007F360A"/>
    <w:rsid w:val="007F5225"/>
    <w:rsid w:val="007F5488"/>
    <w:rsid w:val="007F638B"/>
    <w:rsid w:val="007F6D99"/>
    <w:rsid w:val="007F6E9E"/>
    <w:rsid w:val="007F7831"/>
    <w:rsid w:val="007F7842"/>
    <w:rsid w:val="007F7A60"/>
    <w:rsid w:val="007F7D3B"/>
    <w:rsid w:val="007F7FC3"/>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3A4"/>
    <w:rsid w:val="008145C0"/>
    <w:rsid w:val="008151A6"/>
    <w:rsid w:val="00815EE9"/>
    <w:rsid w:val="00816B32"/>
    <w:rsid w:val="00816F2D"/>
    <w:rsid w:val="0082014C"/>
    <w:rsid w:val="00820E23"/>
    <w:rsid w:val="0082105B"/>
    <w:rsid w:val="008221EB"/>
    <w:rsid w:val="008226CF"/>
    <w:rsid w:val="00822727"/>
    <w:rsid w:val="008233A4"/>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0F72"/>
    <w:rsid w:val="00841322"/>
    <w:rsid w:val="00841645"/>
    <w:rsid w:val="008420D9"/>
    <w:rsid w:val="008427C5"/>
    <w:rsid w:val="00842A5C"/>
    <w:rsid w:val="00843119"/>
    <w:rsid w:val="00844689"/>
    <w:rsid w:val="00845545"/>
    <w:rsid w:val="00845551"/>
    <w:rsid w:val="008469DF"/>
    <w:rsid w:val="008503E1"/>
    <w:rsid w:val="00850412"/>
    <w:rsid w:val="00850C75"/>
    <w:rsid w:val="00851278"/>
    <w:rsid w:val="00852CAD"/>
    <w:rsid w:val="00852EA6"/>
    <w:rsid w:val="00854146"/>
    <w:rsid w:val="00854E5A"/>
    <w:rsid w:val="0085520E"/>
    <w:rsid w:val="00855D5F"/>
    <w:rsid w:val="00855EAC"/>
    <w:rsid w:val="008564FF"/>
    <w:rsid w:val="00856854"/>
    <w:rsid w:val="0085692D"/>
    <w:rsid w:val="00856E42"/>
    <w:rsid w:val="00860B35"/>
    <w:rsid w:val="0086119A"/>
    <w:rsid w:val="0086634C"/>
    <w:rsid w:val="00866C27"/>
    <w:rsid w:val="00867C62"/>
    <w:rsid w:val="00867EDC"/>
    <w:rsid w:val="00870531"/>
    <w:rsid w:val="00871877"/>
    <w:rsid w:val="00871CAF"/>
    <w:rsid w:val="008726CA"/>
    <w:rsid w:val="00872B0F"/>
    <w:rsid w:val="00873784"/>
    <w:rsid w:val="008737EA"/>
    <w:rsid w:val="00873855"/>
    <w:rsid w:val="00873BC6"/>
    <w:rsid w:val="0087411F"/>
    <w:rsid w:val="008744A5"/>
    <w:rsid w:val="008745D3"/>
    <w:rsid w:val="0087489F"/>
    <w:rsid w:val="00874F0C"/>
    <w:rsid w:val="00875044"/>
    <w:rsid w:val="00875C7F"/>
    <w:rsid w:val="00877CE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7E8"/>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133"/>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2979"/>
    <w:rsid w:val="008D30F0"/>
    <w:rsid w:val="008D4535"/>
    <w:rsid w:val="008D53B8"/>
    <w:rsid w:val="008D5CDE"/>
    <w:rsid w:val="008D6256"/>
    <w:rsid w:val="008D6581"/>
    <w:rsid w:val="008D696E"/>
    <w:rsid w:val="008D7455"/>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1574"/>
    <w:rsid w:val="00902B4D"/>
    <w:rsid w:val="00902BCE"/>
    <w:rsid w:val="00902EFC"/>
    <w:rsid w:val="00905EA9"/>
    <w:rsid w:val="009068C9"/>
    <w:rsid w:val="00907115"/>
    <w:rsid w:val="00907513"/>
    <w:rsid w:val="00907AF9"/>
    <w:rsid w:val="00910210"/>
    <w:rsid w:val="009109C8"/>
    <w:rsid w:val="009118EE"/>
    <w:rsid w:val="00912DF5"/>
    <w:rsid w:val="00913A2F"/>
    <w:rsid w:val="00913FC0"/>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1D3"/>
    <w:rsid w:val="0093055F"/>
    <w:rsid w:val="00930817"/>
    <w:rsid w:val="009308DB"/>
    <w:rsid w:val="00931528"/>
    <w:rsid w:val="009317AA"/>
    <w:rsid w:val="0093202C"/>
    <w:rsid w:val="00932E47"/>
    <w:rsid w:val="009339C1"/>
    <w:rsid w:val="00933C5E"/>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2ECC"/>
    <w:rsid w:val="0095353C"/>
    <w:rsid w:val="00954485"/>
    <w:rsid w:val="00954A0C"/>
    <w:rsid w:val="00955AA6"/>
    <w:rsid w:val="00955C81"/>
    <w:rsid w:val="00955F25"/>
    <w:rsid w:val="00960B47"/>
    <w:rsid w:val="00962BBD"/>
    <w:rsid w:val="009633A5"/>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7E3"/>
    <w:rsid w:val="0098182F"/>
    <w:rsid w:val="0098245F"/>
    <w:rsid w:val="00984A5C"/>
    <w:rsid w:val="00985397"/>
    <w:rsid w:val="00985B99"/>
    <w:rsid w:val="00986D41"/>
    <w:rsid w:val="00986FA9"/>
    <w:rsid w:val="0098757C"/>
    <w:rsid w:val="0098778D"/>
    <w:rsid w:val="00991C37"/>
    <w:rsid w:val="00991D59"/>
    <w:rsid w:val="009921F0"/>
    <w:rsid w:val="0099270E"/>
    <w:rsid w:val="00992C04"/>
    <w:rsid w:val="00994D07"/>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008"/>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288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1D8"/>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210"/>
    <w:rsid w:val="00A10C90"/>
    <w:rsid w:val="00A11C6E"/>
    <w:rsid w:val="00A12B66"/>
    <w:rsid w:val="00A136CD"/>
    <w:rsid w:val="00A14679"/>
    <w:rsid w:val="00A159E2"/>
    <w:rsid w:val="00A15AAC"/>
    <w:rsid w:val="00A16FFF"/>
    <w:rsid w:val="00A201CF"/>
    <w:rsid w:val="00A20B73"/>
    <w:rsid w:val="00A2220F"/>
    <w:rsid w:val="00A232F8"/>
    <w:rsid w:val="00A24751"/>
    <w:rsid w:val="00A248E2"/>
    <w:rsid w:val="00A26662"/>
    <w:rsid w:val="00A2674E"/>
    <w:rsid w:val="00A2757B"/>
    <w:rsid w:val="00A27BBC"/>
    <w:rsid w:val="00A30C4C"/>
    <w:rsid w:val="00A31125"/>
    <w:rsid w:val="00A31E59"/>
    <w:rsid w:val="00A320B1"/>
    <w:rsid w:val="00A325F5"/>
    <w:rsid w:val="00A33695"/>
    <w:rsid w:val="00A33C55"/>
    <w:rsid w:val="00A34026"/>
    <w:rsid w:val="00A3453C"/>
    <w:rsid w:val="00A369B8"/>
    <w:rsid w:val="00A369C3"/>
    <w:rsid w:val="00A37988"/>
    <w:rsid w:val="00A37A04"/>
    <w:rsid w:val="00A402A8"/>
    <w:rsid w:val="00A41661"/>
    <w:rsid w:val="00A4281F"/>
    <w:rsid w:val="00A4309F"/>
    <w:rsid w:val="00A4319E"/>
    <w:rsid w:val="00A433ED"/>
    <w:rsid w:val="00A44410"/>
    <w:rsid w:val="00A4645E"/>
    <w:rsid w:val="00A50EB7"/>
    <w:rsid w:val="00A51AA9"/>
    <w:rsid w:val="00A5221E"/>
    <w:rsid w:val="00A53185"/>
    <w:rsid w:val="00A532F5"/>
    <w:rsid w:val="00A53C11"/>
    <w:rsid w:val="00A5427A"/>
    <w:rsid w:val="00A5527A"/>
    <w:rsid w:val="00A55DC4"/>
    <w:rsid w:val="00A56F0F"/>
    <w:rsid w:val="00A60195"/>
    <w:rsid w:val="00A6393D"/>
    <w:rsid w:val="00A6394C"/>
    <w:rsid w:val="00A64421"/>
    <w:rsid w:val="00A648C2"/>
    <w:rsid w:val="00A66053"/>
    <w:rsid w:val="00A6683C"/>
    <w:rsid w:val="00A66EC6"/>
    <w:rsid w:val="00A6706B"/>
    <w:rsid w:val="00A672A8"/>
    <w:rsid w:val="00A675D9"/>
    <w:rsid w:val="00A700A3"/>
    <w:rsid w:val="00A70159"/>
    <w:rsid w:val="00A70245"/>
    <w:rsid w:val="00A707F3"/>
    <w:rsid w:val="00A72DF3"/>
    <w:rsid w:val="00A73282"/>
    <w:rsid w:val="00A732AE"/>
    <w:rsid w:val="00A7376F"/>
    <w:rsid w:val="00A74B40"/>
    <w:rsid w:val="00A74D8D"/>
    <w:rsid w:val="00A75338"/>
    <w:rsid w:val="00A76381"/>
    <w:rsid w:val="00A767BE"/>
    <w:rsid w:val="00A772B4"/>
    <w:rsid w:val="00A774C1"/>
    <w:rsid w:val="00A779E9"/>
    <w:rsid w:val="00A801A9"/>
    <w:rsid w:val="00A807E1"/>
    <w:rsid w:val="00A80A02"/>
    <w:rsid w:val="00A80C2E"/>
    <w:rsid w:val="00A826E9"/>
    <w:rsid w:val="00A8286E"/>
    <w:rsid w:val="00A82F95"/>
    <w:rsid w:val="00A8318E"/>
    <w:rsid w:val="00A840BE"/>
    <w:rsid w:val="00A840D5"/>
    <w:rsid w:val="00A85CE0"/>
    <w:rsid w:val="00A85E91"/>
    <w:rsid w:val="00A85EDB"/>
    <w:rsid w:val="00A86139"/>
    <w:rsid w:val="00A86C99"/>
    <w:rsid w:val="00A86EB4"/>
    <w:rsid w:val="00A90BDF"/>
    <w:rsid w:val="00A92865"/>
    <w:rsid w:val="00A92CFF"/>
    <w:rsid w:val="00A92F0D"/>
    <w:rsid w:val="00A94497"/>
    <w:rsid w:val="00A94F5F"/>
    <w:rsid w:val="00A94FBC"/>
    <w:rsid w:val="00A95150"/>
    <w:rsid w:val="00A9559C"/>
    <w:rsid w:val="00A95FD0"/>
    <w:rsid w:val="00A97C62"/>
    <w:rsid w:val="00A97DCA"/>
    <w:rsid w:val="00A97FED"/>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C74"/>
    <w:rsid w:val="00AB4E51"/>
    <w:rsid w:val="00AB5C94"/>
    <w:rsid w:val="00AB63E5"/>
    <w:rsid w:val="00AB6610"/>
    <w:rsid w:val="00AB67AA"/>
    <w:rsid w:val="00AB68B2"/>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862"/>
    <w:rsid w:val="00AF6F2C"/>
    <w:rsid w:val="00AF7FA5"/>
    <w:rsid w:val="00B006E9"/>
    <w:rsid w:val="00B01163"/>
    <w:rsid w:val="00B024AD"/>
    <w:rsid w:val="00B024D7"/>
    <w:rsid w:val="00B03CD3"/>
    <w:rsid w:val="00B048F1"/>
    <w:rsid w:val="00B049B4"/>
    <w:rsid w:val="00B04D23"/>
    <w:rsid w:val="00B057CA"/>
    <w:rsid w:val="00B06C38"/>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088C"/>
    <w:rsid w:val="00B4177D"/>
    <w:rsid w:val="00B429FB"/>
    <w:rsid w:val="00B431BD"/>
    <w:rsid w:val="00B439B1"/>
    <w:rsid w:val="00B43C2A"/>
    <w:rsid w:val="00B43F29"/>
    <w:rsid w:val="00B4423C"/>
    <w:rsid w:val="00B442BD"/>
    <w:rsid w:val="00B44FD0"/>
    <w:rsid w:val="00B4512A"/>
    <w:rsid w:val="00B45BCF"/>
    <w:rsid w:val="00B47F0C"/>
    <w:rsid w:val="00B50194"/>
    <w:rsid w:val="00B50C55"/>
    <w:rsid w:val="00B50C8C"/>
    <w:rsid w:val="00B50D11"/>
    <w:rsid w:val="00B51A5D"/>
    <w:rsid w:val="00B51CC6"/>
    <w:rsid w:val="00B51F42"/>
    <w:rsid w:val="00B522A4"/>
    <w:rsid w:val="00B52872"/>
    <w:rsid w:val="00B53030"/>
    <w:rsid w:val="00B53847"/>
    <w:rsid w:val="00B53939"/>
    <w:rsid w:val="00B542AB"/>
    <w:rsid w:val="00B62635"/>
    <w:rsid w:val="00B64EB6"/>
    <w:rsid w:val="00B65593"/>
    <w:rsid w:val="00B65598"/>
    <w:rsid w:val="00B704AB"/>
    <w:rsid w:val="00B71CD5"/>
    <w:rsid w:val="00B71DAC"/>
    <w:rsid w:val="00B723C6"/>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C48"/>
    <w:rsid w:val="00B85F75"/>
    <w:rsid w:val="00B86114"/>
    <w:rsid w:val="00B86CA9"/>
    <w:rsid w:val="00B912BF"/>
    <w:rsid w:val="00B91440"/>
    <w:rsid w:val="00B918B1"/>
    <w:rsid w:val="00B92AAD"/>
    <w:rsid w:val="00B93FA1"/>
    <w:rsid w:val="00B94F66"/>
    <w:rsid w:val="00B96FBD"/>
    <w:rsid w:val="00B976B5"/>
    <w:rsid w:val="00B976CF"/>
    <w:rsid w:val="00B97F1B"/>
    <w:rsid w:val="00BA05FE"/>
    <w:rsid w:val="00BA1BF6"/>
    <w:rsid w:val="00BA1C6C"/>
    <w:rsid w:val="00BA1CD6"/>
    <w:rsid w:val="00BA2863"/>
    <w:rsid w:val="00BA325A"/>
    <w:rsid w:val="00BA4A8E"/>
    <w:rsid w:val="00BA5699"/>
    <w:rsid w:val="00BA58FE"/>
    <w:rsid w:val="00BA5C1F"/>
    <w:rsid w:val="00BA6384"/>
    <w:rsid w:val="00BA6E03"/>
    <w:rsid w:val="00BA7308"/>
    <w:rsid w:val="00BA7CE0"/>
    <w:rsid w:val="00BB169C"/>
    <w:rsid w:val="00BB18C2"/>
    <w:rsid w:val="00BB1DFE"/>
    <w:rsid w:val="00BB225B"/>
    <w:rsid w:val="00BB22D4"/>
    <w:rsid w:val="00BB3CBE"/>
    <w:rsid w:val="00BB50BB"/>
    <w:rsid w:val="00BB5B5D"/>
    <w:rsid w:val="00BB6397"/>
    <w:rsid w:val="00BB6B9C"/>
    <w:rsid w:val="00BB73C8"/>
    <w:rsid w:val="00BB7E19"/>
    <w:rsid w:val="00BC068F"/>
    <w:rsid w:val="00BC0A7F"/>
    <w:rsid w:val="00BC1220"/>
    <w:rsid w:val="00BC177F"/>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42"/>
    <w:rsid w:val="00BD1379"/>
    <w:rsid w:val="00BD2FE7"/>
    <w:rsid w:val="00BD36DE"/>
    <w:rsid w:val="00BD4E13"/>
    <w:rsid w:val="00BD52C3"/>
    <w:rsid w:val="00BD5485"/>
    <w:rsid w:val="00BD5A14"/>
    <w:rsid w:val="00BD5F43"/>
    <w:rsid w:val="00BD661B"/>
    <w:rsid w:val="00BD687C"/>
    <w:rsid w:val="00BD6DB9"/>
    <w:rsid w:val="00BD71A3"/>
    <w:rsid w:val="00BD75D1"/>
    <w:rsid w:val="00BE0363"/>
    <w:rsid w:val="00BE0A45"/>
    <w:rsid w:val="00BE1233"/>
    <w:rsid w:val="00BE1277"/>
    <w:rsid w:val="00BE1311"/>
    <w:rsid w:val="00BE19C2"/>
    <w:rsid w:val="00BE358B"/>
    <w:rsid w:val="00BE4109"/>
    <w:rsid w:val="00BE447B"/>
    <w:rsid w:val="00BE4782"/>
    <w:rsid w:val="00BE47D8"/>
    <w:rsid w:val="00BE4FD9"/>
    <w:rsid w:val="00BE57BF"/>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2B34"/>
    <w:rsid w:val="00C233C6"/>
    <w:rsid w:val="00C23D4E"/>
    <w:rsid w:val="00C24ED2"/>
    <w:rsid w:val="00C24F3F"/>
    <w:rsid w:val="00C25670"/>
    <w:rsid w:val="00C259E2"/>
    <w:rsid w:val="00C2636B"/>
    <w:rsid w:val="00C26C3A"/>
    <w:rsid w:val="00C27140"/>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058"/>
    <w:rsid w:val="00C4623C"/>
    <w:rsid w:val="00C46DB1"/>
    <w:rsid w:val="00C4706F"/>
    <w:rsid w:val="00C47BD3"/>
    <w:rsid w:val="00C47E57"/>
    <w:rsid w:val="00C504D3"/>
    <w:rsid w:val="00C536B3"/>
    <w:rsid w:val="00C53836"/>
    <w:rsid w:val="00C53B22"/>
    <w:rsid w:val="00C53C4E"/>
    <w:rsid w:val="00C53D24"/>
    <w:rsid w:val="00C542A9"/>
    <w:rsid w:val="00C54763"/>
    <w:rsid w:val="00C55547"/>
    <w:rsid w:val="00C55649"/>
    <w:rsid w:val="00C563A1"/>
    <w:rsid w:val="00C576F8"/>
    <w:rsid w:val="00C57F07"/>
    <w:rsid w:val="00C604F5"/>
    <w:rsid w:val="00C61583"/>
    <w:rsid w:val="00C61B48"/>
    <w:rsid w:val="00C61FF5"/>
    <w:rsid w:val="00C62CD3"/>
    <w:rsid w:val="00C635CF"/>
    <w:rsid w:val="00C635FD"/>
    <w:rsid w:val="00C63986"/>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231"/>
    <w:rsid w:val="00C80731"/>
    <w:rsid w:val="00C80811"/>
    <w:rsid w:val="00C81C8B"/>
    <w:rsid w:val="00C82BBD"/>
    <w:rsid w:val="00C82C15"/>
    <w:rsid w:val="00C82F83"/>
    <w:rsid w:val="00C839AF"/>
    <w:rsid w:val="00C84BAF"/>
    <w:rsid w:val="00C84C64"/>
    <w:rsid w:val="00C8571F"/>
    <w:rsid w:val="00C85EAB"/>
    <w:rsid w:val="00C86C33"/>
    <w:rsid w:val="00C87CEE"/>
    <w:rsid w:val="00C9009E"/>
    <w:rsid w:val="00C91751"/>
    <w:rsid w:val="00C917B0"/>
    <w:rsid w:val="00C91DC9"/>
    <w:rsid w:val="00C931A3"/>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030A"/>
    <w:rsid w:val="00CC112B"/>
    <w:rsid w:val="00CC2508"/>
    <w:rsid w:val="00CC26A6"/>
    <w:rsid w:val="00CC2B5B"/>
    <w:rsid w:val="00CC2F2F"/>
    <w:rsid w:val="00CC47A1"/>
    <w:rsid w:val="00CC4F4F"/>
    <w:rsid w:val="00CC4F94"/>
    <w:rsid w:val="00CC6811"/>
    <w:rsid w:val="00CC6A7B"/>
    <w:rsid w:val="00CC7195"/>
    <w:rsid w:val="00CC73DA"/>
    <w:rsid w:val="00CD1420"/>
    <w:rsid w:val="00CD1762"/>
    <w:rsid w:val="00CD1B30"/>
    <w:rsid w:val="00CD33AB"/>
    <w:rsid w:val="00CD35F2"/>
    <w:rsid w:val="00CD385E"/>
    <w:rsid w:val="00CD3F0E"/>
    <w:rsid w:val="00CD4356"/>
    <w:rsid w:val="00CD6CEB"/>
    <w:rsid w:val="00CD7623"/>
    <w:rsid w:val="00CD7D5B"/>
    <w:rsid w:val="00CD7ED8"/>
    <w:rsid w:val="00CE04E5"/>
    <w:rsid w:val="00CE1093"/>
    <w:rsid w:val="00CE2A31"/>
    <w:rsid w:val="00CE2B78"/>
    <w:rsid w:val="00CE31F7"/>
    <w:rsid w:val="00CE47AF"/>
    <w:rsid w:val="00CE4BEB"/>
    <w:rsid w:val="00CE4C49"/>
    <w:rsid w:val="00CE51FF"/>
    <w:rsid w:val="00CE5491"/>
    <w:rsid w:val="00CE5754"/>
    <w:rsid w:val="00CE5ACF"/>
    <w:rsid w:val="00CE7048"/>
    <w:rsid w:val="00CE7221"/>
    <w:rsid w:val="00CE797B"/>
    <w:rsid w:val="00CE7F91"/>
    <w:rsid w:val="00CF0568"/>
    <w:rsid w:val="00CF0D1C"/>
    <w:rsid w:val="00CF1093"/>
    <w:rsid w:val="00CF206F"/>
    <w:rsid w:val="00CF2D64"/>
    <w:rsid w:val="00CF4C30"/>
    <w:rsid w:val="00CF5466"/>
    <w:rsid w:val="00CF5957"/>
    <w:rsid w:val="00CF5CD0"/>
    <w:rsid w:val="00CF6B09"/>
    <w:rsid w:val="00CF6D85"/>
    <w:rsid w:val="00CF6F63"/>
    <w:rsid w:val="00D02151"/>
    <w:rsid w:val="00D021AF"/>
    <w:rsid w:val="00D024BD"/>
    <w:rsid w:val="00D02770"/>
    <w:rsid w:val="00D02E89"/>
    <w:rsid w:val="00D054C0"/>
    <w:rsid w:val="00D057A6"/>
    <w:rsid w:val="00D05A94"/>
    <w:rsid w:val="00D06F70"/>
    <w:rsid w:val="00D10700"/>
    <w:rsid w:val="00D11201"/>
    <w:rsid w:val="00D11D41"/>
    <w:rsid w:val="00D11E4C"/>
    <w:rsid w:val="00D1223C"/>
    <w:rsid w:val="00D14A32"/>
    <w:rsid w:val="00D14EE0"/>
    <w:rsid w:val="00D15808"/>
    <w:rsid w:val="00D16380"/>
    <w:rsid w:val="00D1690D"/>
    <w:rsid w:val="00D16FBF"/>
    <w:rsid w:val="00D17259"/>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21C"/>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1E64"/>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3475"/>
    <w:rsid w:val="00DF4FF2"/>
    <w:rsid w:val="00DF65DF"/>
    <w:rsid w:val="00DF70AE"/>
    <w:rsid w:val="00DF7382"/>
    <w:rsid w:val="00E01601"/>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731"/>
    <w:rsid w:val="00E11F7B"/>
    <w:rsid w:val="00E120F4"/>
    <w:rsid w:val="00E1421C"/>
    <w:rsid w:val="00E143FD"/>
    <w:rsid w:val="00E14C4D"/>
    <w:rsid w:val="00E16498"/>
    <w:rsid w:val="00E1685B"/>
    <w:rsid w:val="00E1696D"/>
    <w:rsid w:val="00E172EA"/>
    <w:rsid w:val="00E1750A"/>
    <w:rsid w:val="00E17AB7"/>
    <w:rsid w:val="00E20FAC"/>
    <w:rsid w:val="00E2178E"/>
    <w:rsid w:val="00E2447E"/>
    <w:rsid w:val="00E249EF"/>
    <w:rsid w:val="00E25862"/>
    <w:rsid w:val="00E26CB6"/>
    <w:rsid w:val="00E27969"/>
    <w:rsid w:val="00E31A99"/>
    <w:rsid w:val="00E3279F"/>
    <w:rsid w:val="00E32BAE"/>
    <w:rsid w:val="00E32DA2"/>
    <w:rsid w:val="00E33BF7"/>
    <w:rsid w:val="00E340D7"/>
    <w:rsid w:val="00E34533"/>
    <w:rsid w:val="00E41A58"/>
    <w:rsid w:val="00E41E4F"/>
    <w:rsid w:val="00E42A4D"/>
    <w:rsid w:val="00E4334F"/>
    <w:rsid w:val="00E43CD2"/>
    <w:rsid w:val="00E440D2"/>
    <w:rsid w:val="00E44336"/>
    <w:rsid w:val="00E449CC"/>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03B"/>
    <w:rsid w:val="00E5715E"/>
    <w:rsid w:val="00E60B53"/>
    <w:rsid w:val="00E60C82"/>
    <w:rsid w:val="00E610EA"/>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1D08"/>
    <w:rsid w:val="00E9217C"/>
    <w:rsid w:val="00E921F1"/>
    <w:rsid w:val="00E92C04"/>
    <w:rsid w:val="00E92C65"/>
    <w:rsid w:val="00E92EE4"/>
    <w:rsid w:val="00E93AB5"/>
    <w:rsid w:val="00E96511"/>
    <w:rsid w:val="00E96A85"/>
    <w:rsid w:val="00E9758A"/>
    <w:rsid w:val="00E979E9"/>
    <w:rsid w:val="00E97CD2"/>
    <w:rsid w:val="00EA050A"/>
    <w:rsid w:val="00EA0754"/>
    <w:rsid w:val="00EA0BAB"/>
    <w:rsid w:val="00EA0F2F"/>
    <w:rsid w:val="00EA11F0"/>
    <w:rsid w:val="00EA1C37"/>
    <w:rsid w:val="00EA1F5A"/>
    <w:rsid w:val="00EA2AFF"/>
    <w:rsid w:val="00EA3FEF"/>
    <w:rsid w:val="00EA4108"/>
    <w:rsid w:val="00EA419C"/>
    <w:rsid w:val="00EA45F4"/>
    <w:rsid w:val="00EA4F4F"/>
    <w:rsid w:val="00EA56D1"/>
    <w:rsid w:val="00EA6388"/>
    <w:rsid w:val="00EA7544"/>
    <w:rsid w:val="00EB0EE6"/>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017"/>
    <w:rsid w:val="00EC38B2"/>
    <w:rsid w:val="00EC4E70"/>
    <w:rsid w:val="00EC5046"/>
    <w:rsid w:val="00EC53E0"/>
    <w:rsid w:val="00EC5513"/>
    <w:rsid w:val="00EC57C6"/>
    <w:rsid w:val="00EC5FA2"/>
    <w:rsid w:val="00EC7AB4"/>
    <w:rsid w:val="00EC7E81"/>
    <w:rsid w:val="00ED048B"/>
    <w:rsid w:val="00ED1379"/>
    <w:rsid w:val="00ED1956"/>
    <w:rsid w:val="00ED1D0F"/>
    <w:rsid w:val="00ED1D99"/>
    <w:rsid w:val="00ED20CB"/>
    <w:rsid w:val="00ED4629"/>
    <w:rsid w:val="00ED52BC"/>
    <w:rsid w:val="00ED55F7"/>
    <w:rsid w:val="00ED66A4"/>
    <w:rsid w:val="00ED6B13"/>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451F"/>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4D8C"/>
    <w:rsid w:val="00F2521E"/>
    <w:rsid w:val="00F25413"/>
    <w:rsid w:val="00F26B14"/>
    <w:rsid w:val="00F26CE4"/>
    <w:rsid w:val="00F271B3"/>
    <w:rsid w:val="00F30076"/>
    <w:rsid w:val="00F30E8D"/>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903"/>
    <w:rsid w:val="00F63AB7"/>
    <w:rsid w:val="00F63BA7"/>
    <w:rsid w:val="00F65282"/>
    <w:rsid w:val="00F65D43"/>
    <w:rsid w:val="00F66294"/>
    <w:rsid w:val="00F66371"/>
    <w:rsid w:val="00F66830"/>
    <w:rsid w:val="00F66DFB"/>
    <w:rsid w:val="00F67634"/>
    <w:rsid w:val="00F71DF2"/>
    <w:rsid w:val="00F73854"/>
    <w:rsid w:val="00F7387F"/>
    <w:rsid w:val="00F75233"/>
    <w:rsid w:val="00F75FD2"/>
    <w:rsid w:val="00F777C7"/>
    <w:rsid w:val="00F800B6"/>
    <w:rsid w:val="00F8071F"/>
    <w:rsid w:val="00F80A11"/>
    <w:rsid w:val="00F811C6"/>
    <w:rsid w:val="00F811F8"/>
    <w:rsid w:val="00F82A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0DB2"/>
    <w:rsid w:val="00FC1030"/>
    <w:rsid w:val="00FC1715"/>
    <w:rsid w:val="00FC20DD"/>
    <w:rsid w:val="00FC223C"/>
    <w:rsid w:val="00FC371D"/>
    <w:rsid w:val="00FC41EC"/>
    <w:rsid w:val="00FC4A4B"/>
    <w:rsid w:val="00FC4D06"/>
    <w:rsid w:val="00FC5515"/>
    <w:rsid w:val="00FC6275"/>
    <w:rsid w:val="00FC6D7A"/>
    <w:rsid w:val="00FC70BF"/>
    <w:rsid w:val="00FC7C03"/>
    <w:rsid w:val="00FD0193"/>
    <w:rsid w:val="00FD0FAA"/>
    <w:rsid w:val="00FD16F5"/>
    <w:rsid w:val="00FD239F"/>
    <w:rsid w:val="00FD2AE8"/>
    <w:rsid w:val="00FD3791"/>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5F0E"/>
    <w:rsid w:val="00FE6995"/>
    <w:rsid w:val="00FE69AC"/>
    <w:rsid w:val="00FE6CFB"/>
    <w:rsid w:val="00FE74CE"/>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CBD667A"/>
  <w15:docId w15:val="{FA6400FB-6AD4-4A30-AE61-1F1D2D07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pl-PL"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pl-PL"/>
    </w:rPr>
  </w:style>
  <w:style w:type="character" w:customStyle="1" w:styleId="Heading2Char">
    <w:name w:val="Heading 2 Char"/>
    <w:link w:val="Heading2"/>
    <w:uiPriority w:val="99"/>
    <w:locked/>
    <w:rsid w:val="00EC5046"/>
    <w:rPr>
      <w:rFonts w:ascii="Verdana" w:hAnsi="Verdana" w:cs="Times New Roman"/>
      <w:b/>
      <w:sz w:val="24"/>
      <w:szCs w:val="24"/>
      <w:u w:val="single"/>
      <w:lang w:val="pl-PL"/>
    </w:rPr>
  </w:style>
  <w:style w:type="character" w:customStyle="1" w:styleId="Heading3Char">
    <w:name w:val="Heading 3 Char"/>
    <w:aliases w:val="Title 2 Char"/>
    <w:uiPriority w:val="99"/>
    <w:locked/>
    <w:rsid w:val="00884FEB"/>
    <w:rPr>
      <w:rFonts w:cs="Times New Roman"/>
      <w:sz w:val="24"/>
      <w:szCs w:val="24"/>
      <w:lang w:val="pl-P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l-P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l-P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l-P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l-P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l-P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l-P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l-P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l-P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l-P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pl-PL"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A3453C"/>
    <w:rPr>
      <w:color w:val="605E5C"/>
      <w:shd w:val="clear" w:color="auto" w:fill="E1DFDD"/>
    </w:rPr>
  </w:style>
  <w:style w:type="paragraph" w:customStyle="1" w:styleId="LegalNumPar">
    <w:name w:val="LegalNumPar"/>
    <w:basedOn w:val="Normal"/>
    <w:rsid w:val="00A92865"/>
    <w:pPr>
      <w:numPr>
        <w:numId w:val="30"/>
      </w:numPr>
      <w:spacing w:line="360" w:lineRule="auto"/>
    </w:pPr>
    <w:rPr>
      <w:sz w:val="24"/>
    </w:rPr>
  </w:style>
  <w:style w:type="paragraph" w:customStyle="1" w:styleId="LegalNumPar2">
    <w:name w:val="LegalNumPar2"/>
    <w:basedOn w:val="Normal"/>
    <w:rsid w:val="00A92865"/>
    <w:pPr>
      <w:numPr>
        <w:ilvl w:val="1"/>
        <w:numId w:val="30"/>
      </w:numPr>
      <w:spacing w:line="360" w:lineRule="auto"/>
    </w:pPr>
    <w:rPr>
      <w:sz w:val="24"/>
    </w:rPr>
  </w:style>
  <w:style w:type="paragraph" w:customStyle="1" w:styleId="LegalNumPar3">
    <w:name w:val="LegalNumPar3"/>
    <w:basedOn w:val="Normal"/>
    <w:rsid w:val="00A92865"/>
    <w:pPr>
      <w:numPr>
        <w:ilvl w:val="2"/>
        <w:numId w:val="30"/>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563683181">
      <w:bodyDiv w:val="1"/>
      <w:marLeft w:val="0"/>
      <w:marRight w:val="0"/>
      <w:marTop w:val="0"/>
      <w:marBottom w:val="0"/>
      <w:divBdr>
        <w:top w:val="none" w:sz="0" w:space="0" w:color="auto"/>
        <w:left w:val="none" w:sz="0" w:space="0" w:color="auto"/>
        <w:bottom w:val="none" w:sz="0" w:space="0" w:color="auto"/>
        <w:right w:val="none" w:sz="0" w:space="0" w:color="auto"/>
      </w:divBdr>
      <w:divsChild>
        <w:div w:id="392656648">
          <w:marLeft w:val="0"/>
          <w:marRight w:val="0"/>
          <w:marTop w:val="0"/>
          <w:marBottom w:val="0"/>
          <w:divBdr>
            <w:top w:val="none" w:sz="0" w:space="0" w:color="auto"/>
            <w:left w:val="none" w:sz="0" w:space="0" w:color="auto"/>
            <w:bottom w:val="none" w:sz="0" w:space="0" w:color="auto"/>
            <w:right w:val="none" w:sz="0" w:space="0" w:color="auto"/>
          </w:divBdr>
          <w:divsChild>
            <w:div w:id="19446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18991263">
      <w:bodyDiv w:val="1"/>
      <w:marLeft w:val="0"/>
      <w:marRight w:val="0"/>
      <w:marTop w:val="0"/>
      <w:marBottom w:val="0"/>
      <w:divBdr>
        <w:top w:val="none" w:sz="0" w:space="0" w:color="auto"/>
        <w:left w:val="none" w:sz="0" w:space="0" w:color="auto"/>
        <w:bottom w:val="none" w:sz="0" w:space="0" w:color="auto"/>
        <w:right w:val="none" w:sz="0" w:space="0" w:color="auto"/>
      </w:divBdr>
      <w:divsChild>
        <w:div w:id="1222013779">
          <w:marLeft w:val="0"/>
          <w:marRight w:val="0"/>
          <w:marTop w:val="0"/>
          <w:marBottom w:val="0"/>
          <w:divBdr>
            <w:top w:val="none" w:sz="0" w:space="0" w:color="auto"/>
            <w:left w:val="none" w:sz="0" w:space="0" w:color="auto"/>
            <w:bottom w:val="none" w:sz="0" w:space="0" w:color="auto"/>
            <w:right w:val="none" w:sz="0" w:space="0" w:color="auto"/>
          </w:divBdr>
          <w:divsChild>
            <w:div w:id="12690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358239719">
      <w:bodyDiv w:val="1"/>
      <w:marLeft w:val="0"/>
      <w:marRight w:val="0"/>
      <w:marTop w:val="0"/>
      <w:marBottom w:val="0"/>
      <w:divBdr>
        <w:top w:val="none" w:sz="0" w:space="0" w:color="auto"/>
        <w:left w:val="none" w:sz="0" w:space="0" w:color="auto"/>
        <w:bottom w:val="none" w:sz="0" w:space="0" w:color="auto"/>
        <w:right w:val="none" w:sz="0" w:space="0" w:color="auto"/>
      </w:divBdr>
      <w:divsChild>
        <w:div w:id="830485595">
          <w:marLeft w:val="0"/>
          <w:marRight w:val="0"/>
          <w:marTop w:val="0"/>
          <w:marBottom w:val="0"/>
          <w:divBdr>
            <w:top w:val="none" w:sz="0" w:space="0" w:color="auto"/>
            <w:left w:val="none" w:sz="0" w:space="0" w:color="auto"/>
            <w:bottom w:val="none" w:sz="0" w:space="0" w:color="auto"/>
            <w:right w:val="none" w:sz="0" w:space="0" w:color="auto"/>
          </w:divBdr>
          <w:divsChild>
            <w:div w:id="11159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Props1.xml><?xml version="1.0" encoding="utf-8"?>
<ds:datastoreItem xmlns:ds="http://schemas.openxmlformats.org/officeDocument/2006/customXml" ds:itemID="{75DD7EF5-F4B4-4298-BB10-9571695752A2}">
  <ds:schemaRefs>
    <ds:schemaRef ds:uri="http://schemas.microsoft.com/sharepoint/v3/contenttype/forms"/>
  </ds:schemaRefs>
</ds:datastoreItem>
</file>

<file path=customXml/itemProps2.xml><?xml version="1.0" encoding="utf-8"?>
<ds:datastoreItem xmlns:ds="http://schemas.openxmlformats.org/officeDocument/2006/customXml" ds:itemID="{A9C7FCEC-B9F8-4143-9AC6-DB4208C0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F78C3AAD-8455-486E-BE4D-E17672BF9E69}">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98</TotalTime>
  <Pages>25</Pages>
  <Words>7031</Words>
  <Characters>42824</Characters>
  <Application>Microsoft Office Word</Application>
  <DocSecurity>0</DocSecurity>
  <Lines>1223</Lines>
  <Paragraphs>639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cp:lastModifiedBy>WENDEL Agnieszka (DGT)</cp:lastModifiedBy>
  <cp:revision>11</cp:revision>
  <dcterms:created xsi:type="dcterms:W3CDTF">2025-10-06T12:40:00Z</dcterms:created>
  <dcterms:modified xsi:type="dcterms:W3CDTF">2025-10-09T11:41:00Z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2025-06-27T15:01:33Z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9200d526-cd81-4958-bd82-a146b1debf77</vt:lpwstr>
  </property>
  <property fmtid="{D5CDD505-2E9C-101B-9397-08002B2CF9AE}" pid="18" name="MSIP_Label_6bd9ddd1-4d20-43f6-abfa-fc3c07406f94_ContentBits">
    <vt:lpwstr>0</vt:lpwstr>
  </property>
  <property fmtid="{D5CDD505-2E9C-101B-9397-08002B2CF9AE}" pid="19" name="ContentTypeId">
    <vt:lpwstr>0x010100BAD999D84E12C74482EA5120F5227F6F00217DECAAC21D6B43958DFE68658C192E</vt:lpwstr>
  </property>
  <property fmtid="{D5CDD505-2E9C-101B-9397-08002B2CF9AE}" pid="20" name="MediaServiceImageTags">
    <vt:lpwstr/>
  </property>
</Properties>
</file>